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ind w:right="-13"/>
        <w:jc w:val="center"/>
        <w:rPr>
          <w:b/>
          <w:bCs/>
          <w:color w:val="auto"/>
          <w:sz w:val="26"/>
          <w:szCs w:val="26"/>
        </w:rPr>
      </w:pPr>
      <w:r>
        <w:rPr>
          <w:b/>
          <w:bCs/>
          <w:color w:val="auto"/>
          <w:sz w:val="26"/>
          <w:szCs w:val="26"/>
        </w:rPr>
        <w:t>Phụ lục IV</w:t>
      </w:r>
    </w:p>
    <w:p w14:paraId="00000002">
      <w:pPr>
        <w:shd w:val="clear" w:color="auto" w:fill="FFFFFF"/>
        <w:jc w:val="center"/>
        <w:rPr>
          <w:b/>
          <w:bCs/>
          <w:color w:val="auto"/>
        </w:rPr>
      </w:pPr>
      <w:r>
        <w:rPr>
          <w:b/>
          <w:bCs/>
          <w:color w:val="auto"/>
        </w:rPr>
        <w:t>DANH MỤC</w:t>
      </w:r>
    </w:p>
    <w:p w14:paraId="00000003">
      <w:pPr>
        <w:shd w:val="clear" w:color="auto" w:fill="FFFFFF"/>
        <w:jc w:val="center"/>
        <w:rPr>
          <w:color w:val="auto"/>
        </w:rPr>
      </w:pPr>
      <w:r>
        <w:rPr>
          <w:b/>
          <w:bCs/>
          <w:color w:val="auto"/>
        </w:rPr>
        <w:t>Văn bản quy phạm pháp luật đề xuất bãi bỏ toàn bộ</w:t>
      </w:r>
    </w:p>
    <w:p w14:paraId="00000004">
      <w:pPr>
        <w:tabs>
          <w:tab w:val="right" w:pos="6804"/>
        </w:tabs>
        <w:jc w:val="center"/>
        <w:rPr>
          <w:b/>
          <w:bCs/>
          <w:color w:val="auto"/>
          <w:sz w:val="26"/>
          <w:szCs w:val="26"/>
        </w:rPr>
      </w:pPr>
      <w:r>
        <w:rPr>
          <w:b/>
          <w:bCs/>
          <w:color w:val="auto"/>
          <w:sz w:val="26"/>
          <w:szCs w:val="26"/>
        </w:rPr>
        <w:t xml:space="preserve">Cơ quan rà soát: Bộ Khoa học và Công nghệ </w:t>
      </w:r>
    </w:p>
    <w:p w14:paraId="19286C6A">
      <w:pPr>
        <w:tabs>
          <w:tab w:val="right" w:leader="dot" w:pos="6804"/>
        </w:tabs>
        <w:jc w:val="center"/>
        <w:rPr>
          <w:bCs/>
          <w:i/>
          <w:iCs/>
          <w:color w:val="auto"/>
          <w:sz w:val="26"/>
          <w:szCs w:val="26"/>
        </w:rPr>
      </w:pPr>
      <w:r>
        <w:rPr>
          <w:bCs/>
          <w:i/>
          <w:iCs/>
          <w:color w:val="auto"/>
          <w:sz w:val="26"/>
          <w:szCs w:val="26"/>
        </w:rPr>
        <w:t xml:space="preserve">(Kèm theo </w:t>
      </w:r>
      <w:r>
        <w:rPr>
          <w:rFonts w:hint="default"/>
          <w:bCs/>
          <w:i/>
          <w:iCs/>
          <w:color w:val="auto"/>
          <w:sz w:val="26"/>
          <w:szCs w:val="26"/>
          <w:lang w:val="en-US"/>
        </w:rPr>
        <w:t>Công văn</w:t>
      </w:r>
      <w:r>
        <w:rPr>
          <w:bCs/>
          <w:i/>
          <w:iCs/>
          <w:color w:val="auto"/>
          <w:sz w:val="26"/>
          <w:szCs w:val="26"/>
        </w:rPr>
        <w:t xml:space="preserve"> số                ngày      tháng      năm 2026 của Bộ</w:t>
      </w:r>
      <w:r>
        <w:rPr>
          <w:rFonts w:hint="default"/>
          <w:bCs/>
          <w:i/>
          <w:iCs/>
          <w:color w:val="auto"/>
          <w:sz w:val="26"/>
          <w:szCs w:val="26"/>
        </w:rPr>
        <w:t xml:space="preserve"> Khoa học và Công nghệ </w:t>
      </w:r>
      <w:r>
        <w:rPr>
          <w:bCs/>
          <w:i/>
          <w:iCs/>
          <w:color w:val="auto"/>
          <w:sz w:val="26"/>
          <w:szCs w:val="26"/>
        </w:rPr>
        <w:t>)</w:t>
      </w:r>
    </w:p>
    <w:p w14:paraId="1282A730">
      <w:pPr>
        <w:tabs>
          <w:tab w:val="right" w:pos="6804"/>
        </w:tabs>
        <w:jc w:val="center"/>
        <w:rPr>
          <w:rFonts w:hint="default"/>
          <w:b/>
          <w:bCs/>
          <w:color w:val="auto"/>
          <w:sz w:val="26"/>
          <w:szCs w:val="26"/>
          <w:lang w:val="en-US"/>
        </w:rPr>
      </w:pPr>
      <w:r>
        <w:rPr>
          <w:rFonts w:hint="default"/>
          <w:bCs/>
          <w:i/>
          <w:iCs/>
          <w:color w:val="auto"/>
          <w:sz w:val="26"/>
          <w:szCs w:val="26"/>
          <w:vertAlign w:val="superscript"/>
          <w:lang w:val="en-US"/>
        </w:rPr>
        <w:t>____________________</w:t>
      </w:r>
    </w:p>
    <w:p w14:paraId="7C137653">
      <w:pPr>
        <w:tabs>
          <w:tab w:val="right" w:pos="6804"/>
        </w:tabs>
        <w:jc w:val="center"/>
        <w:rPr>
          <w:b/>
          <w:bCs/>
          <w:color w:val="auto"/>
          <w:sz w:val="26"/>
          <w:szCs w:val="26"/>
          <w:vertAlign w:val="superscript"/>
        </w:rPr>
      </w:pPr>
    </w:p>
    <w:p w14:paraId="00000006">
      <w:pPr>
        <w:jc w:val="center"/>
        <w:rPr>
          <w:rFonts w:ascii="Arial" w:hAnsi="Arial" w:eastAsia="Arial" w:cs="Arial"/>
          <w:color w:val="auto"/>
          <w:sz w:val="18"/>
          <w:szCs w:val="18"/>
        </w:rPr>
      </w:pPr>
    </w:p>
    <w:tbl>
      <w:tblPr>
        <w:tblStyle w:val="18"/>
        <w:tblW w:w="14575"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763"/>
        <w:gridCol w:w="2045"/>
        <w:gridCol w:w="1984"/>
        <w:gridCol w:w="3260"/>
        <w:gridCol w:w="1402"/>
        <w:gridCol w:w="1292"/>
        <w:gridCol w:w="3829"/>
      </w:tblGrid>
      <w:tr w14:paraId="556DA5E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blHeader/>
          <w:jc w:val="center"/>
        </w:trPr>
        <w:tc>
          <w:tcPr>
            <w:tcW w:w="763" w:type="dxa"/>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tcPr>
          <w:p w14:paraId="00000009">
            <w:pPr>
              <w:jc w:val="center"/>
              <w:rPr>
                <w:rFonts w:hint="default" w:ascii="Times New Roman" w:hAnsi="Times New Roman" w:cs="Times New Roman"/>
                <w:color w:val="auto"/>
                <w:sz w:val="24"/>
                <w:szCs w:val="24"/>
              </w:rPr>
            </w:pPr>
            <w:bookmarkStart w:id="0" w:name="_heading=h.wfe1pxae6b6r" w:colFirst="0" w:colLast="0"/>
            <w:bookmarkEnd w:id="0"/>
            <w:r>
              <w:rPr>
                <w:rFonts w:hint="default" w:ascii="Times New Roman" w:hAnsi="Times New Roman" w:cs="Times New Roman"/>
                <w:b/>
                <w:bCs/>
                <w:color w:val="auto"/>
                <w:sz w:val="24"/>
                <w:szCs w:val="24"/>
              </w:rPr>
              <w:t>STT</w:t>
            </w:r>
          </w:p>
        </w:tc>
        <w:tc>
          <w:tcPr>
            <w:tcW w:w="2045"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0A">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Tên VB được</w:t>
            </w:r>
          </w:p>
          <w:p w14:paraId="0000000B">
            <w:pPr>
              <w:jc w:val="center"/>
              <w:rPr>
                <w:rFonts w:hint="default" w:ascii="Times New Roman" w:hAnsi="Times New Roman" w:cs="Times New Roman"/>
                <w:color w:val="auto"/>
                <w:sz w:val="24"/>
                <w:szCs w:val="24"/>
                <w:vertAlign w:val="superscript"/>
              </w:rPr>
            </w:pPr>
            <w:r>
              <w:rPr>
                <w:rFonts w:hint="default" w:ascii="Times New Roman" w:hAnsi="Times New Roman" w:cs="Times New Roman"/>
                <w:b/>
                <w:bCs/>
                <w:color w:val="auto"/>
                <w:sz w:val="24"/>
                <w:szCs w:val="24"/>
              </w:rPr>
              <w:t>rà soát</w:t>
            </w:r>
          </w:p>
        </w:tc>
        <w:tc>
          <w:tcPr>
            <w:tcW w:w="1984"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0C">
            <w:pPr>
              <w:jc w:val="center"/>
              <w:rPr>
                <w:rFonts w:hint="default" w:ascii="Times New Roman" w:hAnsi="Times New Roman" w:cs="Times New Roman"/>
                <w:color w:val="auto"/>
                <w:sz w:val="24"/>
                <w:szCs w:val="24"/>
              </w:rPr>
            </w:pPr>
            <w:r>
              <w:rPr>
                <w:rFonts w:hint="default" w:ascii="Times New Roman" w:hAnsi="Times New Roman" w:cs="Times New Roman"/>
                <w:b/>
                <w:bCs/>
                <w:color w:val="auto"/>
                <w:sz w:val="24"/>
                <w:szCs w:val="24"/>
              </w:rPr>
              <w:t>Căn cứ rà soát</w:t>
            </w:r>
          </w:p>
        </w:tc>
        <w:tc>
          <w:tcPr>
            <w:tcW w:w="3260"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0D">
            <w:pPr>
              <w:ind w:left="138" w:right="130"/>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Phân tích lý do đề xuất</w:t>
            </w:r>
          </w:p>
          <w:p w14:paraId="0000000E">
            <w:pPr>
              <w:ind w:left="138" w:right="130"/>
              <w:jc w:val="center"/>
              <w:rPr>
                <w:rFonts w:hint="default" w:ascii="Times New Roman" w:hAnsi="Times New Roman" w:cs="Times New Roman"/>
                <w:color w:val="auto"/>
                <w:sz w:val="24"/>
                <w:szCs w:val="24"/>
              </w:rPr>
            </w:pPr>
            <w:r>
              <w:rPr>
                <w:rFonts w:hint="default" w:ascii="Times New Roman" w:hAnsi="Times New Roman" w:cs="Times New Roman"/>
                <w:b/>
                <w:bCs/>
                <w:color w:val="auto"/>
                <w:sz w:val="24"/>
                <w:szCs w:val="24"/>
              </w:rPr>
              <w:t>bãi bỏ toàn bộ</w:t>
            </w:r>
          </w:p>
        </w:tc>
        <w:tc>
          <w:tcPr>
            <w:tcW w:w="1402"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0F">
            <w:pPr>
              <w:jc w:val="center"/>
              <w:rPr>
                <w:rFonts w:hint="default" w:ascii="Times New Roman" w:hAnsi="Times New Roman" w:cs="Times New Roman"/>
                <w:color w:val="auto"/>
                <w:sz w:val="24"/>
                <w:szCs w:val="24"/>
              </w:rPr>
            </w:pPr>
            <w:r>
              <w:rPr>
                <w:rFonts w:hint="default" w:ascii="Times New Roman" w:hAnsi="Times New Roman" w:cs="Times New Roman"/>
                <w:b/>
                <w:bCs/>
                <w:color w:val="auto"/>
                <w:sz w:val="24"/>
                <w:szCs w:val="24"/>
              </w:rPr>
              <w:t>Lộ trình xử lý</w:t>
            </w:r>
          </w:p>
        </w:tc>
        <w:tc>
          <w:tcPr>
            <w:tcW w:w="1292" w:type="dxa"/>
            <w:tcBorders>
              <w:top w:val="single" w:color="000000" w:sz="4" w:space="0"/>
              <w:left w:val="nil"/>
              <w:bottom w:val="single" w:color="000000" w:sz="8" w:space="0"/>
              <w:right w:val="single" w:color="000000" w:sz="4" w:space="0"/>
            </w:tcBorders>
            <w:tcMar>
              <w:top w:w="0" w:type="dxa"/>
              <w:left w:w="0" w:type="dxa"/>
              <w:bottom w:w="0" w:type="dxa"/>
              <w:right w:w="0" w:type="dxa"/>
            </w:tcMar>
          </w:tcPr>
          <w:p w14:paraId="00000010">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Tiêu chí rà soát</w:t>
            </w:r>
          </w:p>
        </w:tc>
        <w:tc>
          <w:tcPr>
            <w:tcW w:w="3829" w:type="dxa"/>
            <w:tcBorders>
              <w:top w:val="single" w:color="000000" w:sz="4" w:space="0"/>
              <w:left w:val="nil"/>
              <w:bottom w:val="single" w:color="000000" w:sz="8" w:space="0"/>
              <w:right w:val="single" w:color="000000" w:sz="8" w:space="0"/>
            </w:tcBorders>
            <w:tcMar>
              <w:top w:w="0" w:type="dxa"/>
              <w:left w:w="0" w:type="dxa"/>
              <w:bottom w:w="0" w:type="dxa"/>
              <w:right w:w="0" w:type="dxa"/>
            </w:tcMar>
          </w:tcPr>
          <w:p w14:paraId="721B6DBB">
            <w:pPr>
              <w:ind w:left="139" w:right="129"/>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Ghi chú/</w:t>
            </w:r>
          </w:p>
          <w:p w14:paraId="00000011">
            <w:pPr>
              <w:ind w:left="139" w:right="129"/>
              <w:jc w:val="center"/>
              <w:rPr>
                <w:rFonts w:hint="default" w:ascii="Times New Roman" w:hAnsi="Times New Roman" w:cs="Times New Roman"/>
                <w:color w:val="auto"/>
                <w:sz w:val="24"/>
                <w:szCs w:val="24"/>
                <w:vertAlign w:val="superscript"/>
              </w:rPr>
            </w:pPr>
            <w:r>
              <w:rPr>
                <w:rFonts w:hint="default" w:ascii="Times New Roman" w:hAnsi="Times New Roman" w:cs="Times New Roman"/>
                <w:b/>
                <w:bCs/>
                <w:color w:val="auto"/>
                <w:sz w:val="24"/>
                <w:szCs w:val="24"/>
              </w:rPr>
              <w:t>Ý kiến của Bộ Tư pháp</w:t>
            </w:r>
          </w:p>
        </w:tc>
      </w:tr>
      <w:tr w14:paraId="6A831AE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blHeader/>
          <w:jc w:val="center"/>
        </w:trPr>
        <w:tc>
          <w:tcPr>
            <w:tcW w:w="763" w:type="dxa"/>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tcPr>
          <w:p w14:paraId="00000013">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(1)</w:t>
            </w:r>
          </w:p>
        </w:tc>
        <w:tc>
          <w:tcPr>
            <w:tcW w:w="2045"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14">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(2)</w:t>
            </w:r>
          </w:p>
        </w:tc>
        <w:tc>
          <w:tcPr>
            <w:tcW w:w="1984"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15">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(3)</w:t>
            </w:r>
          </w:p>
        </w:tc>
        <w:tc>
          <w:tcPr>
            <w:tcW w:w="3260"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16">
            <w:pPr>
              <w:ind w:left="138" w:right="130"/>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(4)</w:t>
            </w:r>
          </w:p>
        </w:tc>
        <w:tc>
          <w:tcPr>
            <w:tcW w:w="1402" w:type="dxa"/>
            <w:tcBorders>
              <w:top w:val="single" w:color="000000" w:sz="8" w:space="0"/>
              <w:left w:val="nil"/>
              <w:bottom w:val="single" w:color="000000" w:sz="8" w:space="0"/>
              <w:right w:val="single" w:color="000000" w:sz="8" w:space="0"/>
            </w:tcBorders>
            <w:tcMar>
              <w:top w:w="0" w:type="dxa"/>
              <w:left w:w="0" w:type="dxa"/>
              <w:bottom w:w="0" w:type="dxa"/>
              <w:right w:w="0" w:type="dxa"/>
            </w:tcMar>
          </w:tcPr>
          <w:p w14:paraId="00000017">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(5)</w:t>
            </w:r>
          </w:p>
        </w:tc>
        <w:tc>
          <w:tcPr>
            <w:tcW w:w="1292" w:type="dxa"/>
            <w:tcBorders>
              <w:top w:val="single" w:color="000000" w:sz="4" w:space="0"/>
              <w:left w:val="nil"/>
              <w:bottom w:val="single" w:color="000000" w:sz="8" w:space="0"/>
              <w:right w:val="single" w:color="000000" w:sz="4" w:space="0"/>
            </w:tcBorders>
            <w:tcMar>
              <w:top w:w="0" w:type="dxa"/>
              <w:left w:w="0" w:type="dxa"/>
              <w:bottom w:w="0" w:type="dxa"/>
              <w:right w:w="0" w:type="dxa"/>
            </w:tcMar>
          </w:tcPr>
          <w:p w14:paraId="00000018">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(6)</w:t>
            </w:r>
          </w:p>
        </w:tc>
        <w:tc>
          <w:tcPr>
            <w:tcW w:w="3829" w:type="dxa"/>
            <w:tcBorders>
              <w:top w:val="single" w:color="000000" w:sz="4" w:space="0"/>
              <w:left w:val="nil"/>
              <w:bottom w:val="single" w:color="000000" w:sz="8" w:space="0"/>
              <w:right w:val="single" w:color="000000" w:sz="8" w:space="0"/>
            </w:tcBorders>
            <w:tcMar>
              <w:top w:w="0" w:type="dxa"/>
              <w:left w:w="0" w:type="dxa"/>
              <w:bottom w:w="0" w:type="dxa"/>
              <w:right w:w="0" w:type="dxa"/>
            </w:tcMar>
          </w:tcPr>
          <w:p w14:paraId="00000019">
            <w:pPr>
              <w:ind w:left="139" w:right="129"/>
              <w:jc w:val="both"/>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(7)</w:t>
            </w:r>
          </w:p>
        </w:tc>
      </w:tr>
      <w:tr w14:paraId="42AD389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jc w:val="center"/>
        </w:trPr>
        <w:tc>
          <w:tcPr>
            <w:tcW w:w="14575" w:type="dxa"/>
            <w:gridSpan w:val="7"/>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1B">
            <w:pPr>
              <w:ind w:right="130"/>
              <w:jc w:val="center"/>
              <w:rPr>
                <w:rFonts w:hint="default" w:ascii="Times New Roman" w:hAnsi="Times New Roman" w:cs="Times New Roman"/>
                <w:color w:val="auto"/>
                <w:sz w:val="24"/>
                <w:szCs w:val="24"/>
              </w:rPr>
            </w:pPr>
            <w:r>
              <w:rPr>
                <w:rFonts w:hint="default" w:ascii="Times New Roman" w:hAnsi="Times New Roman" w:cs="Times New Roman"/>
                <w:b/>
                <w:bCs/>
                <w:color w:val="auto"/>
                <w:sz w:val="24"/>
                <w:szCs w:val="24"/>
              </w:rPr>
              <w:t>I. LĨNH VỰC KHOA HỌC, CÔNG NGHỆ VÀ ĐỔI MỚI SÁNG TẠO</w:t>
            </w:r>
          </w:p>
        </w:tc>
      </w:tr>
      <w:tr w14:paraId="0A61A73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22">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23">
            <w:pPr>
              <w:tabs>
                <w:tab w:val="right" w:pos="8640"/>
              </w:tabs>
              <w:ind w:right="59"/>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19/2022/TT-BKHCN ngày 28/12/2022 của Bộ trưởng Bộ KHCN hướng dẫn về Hội đồng quản lý trong tổ chức khoa học và công nghệ công lập</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1632A9B3">
            <w:pPr>
              <w:tabs>
                <w:tab w:val="right" w:pos="8640"/>
              </w:tabs>
              <w:ind w:right="132" w:firstLine="284"/>
              <w:jc w:val="both"/>
              <w:rPr>
                <w:rFonts w:hint="default" w:ascii="Times New Roman" w:hAnsi="Times New Roman" w:cs="Times New Roman"/>
                <w:i w:val="0"/>
                <w:iCs w:val="0"/>
                <w:color w:val="auto"/>
                <w:sz w:val="24"/>
                <w:szCs w:val="24"/>
                <w:u w:val="none"/>
                <w:vertAlign w:val="baseline"/>
                <w:lang w:val="en-US"/>
              </w:rPr>
            </w:pPr>
            <w:r>
              <w:rPr>
                <w:rFonts w:hint="default" w:ascii="Times New Roman" w:hAnsi="Times New Roman" w:cs="Times New Roman"/>
                <w:i w:val="0"/>
                <w:iCs w:val="0"/>
                <w:color w:val="auto"/>
                <w:sz w:val="24"/>
                <w:szCs w:val="24"/>
                <w:u w:val="none"/>
                <w:vertAlign w:val="baseline"/>
              </w:rPr>
              <w:t>Luật khoa học, công nghệ và đổi mới sáng tạo</w:t>
            </w:r>
            <w:r>
              <w:rPr>
                <w:rFonts w:hint="default" w:ascii="Times New Roman" w:hAnsi="Times New Roman" w:cs="Times New Roman"/>
                <w:i w:val="0"/>
                <w:iCs w:val="0"/>
                <w:color w:val="auto"/>
                <w:sz w:val="24"/>
                <w:szCs w:val="24"/>
                <w:u w:val="none"/>
                <w:vertAlign w:val="baseline"/>
                <w:lang w:val="en-US"/>
              </w:rPr>
              <w:t xml:space="preserve"> số </w:t>
            </w:r>
            <w:r>
              <w:rPr>
                <w:rFonts w:hint="default" w:ascii="Times New Roman" w:hAnsi="Times New Roman" w:cs="Times New Roman"/>
                <w:color w:val="auto"/>
                <w:sz w:val="24"/>
                <w:szCs w:val="24"/>
              </w:rPr>
              <w:t xml:space="preserve"> 9</w:t>
            </w:r>
            <w:r>
              <w:rPr>
                <w:rFonts w:hint="default" w:ascii="Times New Roman" w:hAnsi="Times New Roman" w:cs="Times New Roman"/>
                <w:color w:val="auto"/>
                <w:sz w:val="24"/>
                <w:szCs w:val="24"/>
                <w:lang w:val="en-US"/>
              </w:rPr>
              <w:t>3</w:t>
            </w:r>
            <w:r>
              <w:rPr>
                <w:rFonts w:hint="default" w:ascii="Times New Roman" w:hAnsi="Times New Roman" w:cs="Times New Roman"/>
                <w:color w:val="auto"/>
                <w:sz w:val="24"/>
                <w:szCs w:val="24"/>
              </w:rPr>
              <w:t>/2025/QH15</w:t>
            </w:r>
          </w:p>
          <w:p w14:paraId="66CFD652">
            <w:pPr>
              <w:tabs>
                <w:tab w:val="right" w:pos="8640"/>
              </w:tabs>
              <w:ind w:right="132"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Luật Viên chức số 129/2025/QH15</w:t>
            </w:r>
          </w:p>
          <w:p w14:paraId="00000024">
            <w:pPr>
              <w:tabs>
                <w:tab w:val="right" w:pos="8640"/>
              </w:tabs>
              <w:ind w:right="59" w:firstLine="284"/>
              <w:jc w:val="both"/>
              <w:rPr>
                <w:rFonts w:hint="default" w:ascii="Times New Roman" w:hAnsi="Times New Roman" w:cs="Times New Roman"/>
                <w:color w:val="auto"/>
                <w:sz w:val="24"/>
                <w:szCs w:val="24"/>
              </w:rPr>
            </w:pPr>
            <w:r>
              <w:rPr>
                <w:rFonts w:hint="default" w:ascii="Times New Roman" w:hAnsi="Times New Roman" w:cs="Times New Roman"/>
                <w:i w:val="0"/>
                <w:iCs w:val="0"/>
                <w:color w:val="auto"/>
                <w:sz w:val="24"/>
                <w:szCs w:val="24"/>
                <w:u w:val="none"/>
                <w:vertAlign w:val="baseline"/>
              </w:rPr>
              <w:t>Nghị định số 263/2025/NĐ-CP</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62611BAF">
            <w:pPr>
              <w:pStyle w:val="14"/>
              <w:keepNext w:val="0"/>
              <w:keepLines w:val="0"/>
              <w:widowControl/>
              <w:suppressLineNumbers w:val="0"/>
              <w:bidi w:val="0"/>
              <w:spacing w:before="0" w:beforeAutospacing="0" w:after="0" w:afterAutospacing="0" w:line="15" w:lineRule="atLeast"/>
              <w:ind w:left="120" w:right="120"/>
              <w:jc w:val="both"/>
              <w:rPr>
                <w:rFonts w:hint="default" w:ascii="Times New Roman" w:hAnsi="Times New Roman" w:cs="Times New Roman"/>
                <w:color w:val="auto"/>
              </w:rPr>
            </w:pPr>
            <w:r>
              <w:rPr>
                <w:rFonts w:hint="default" w:ascii="Times New Roman" w:hAnsi="Times New Roman" w:cs="Times New Roman"/>
                <w:i w:val="0"/>
                <w:iCs w:val="0"/>
                <w:color w:val="auto"/>
                <w:sz w:val="24"/>
                <w:szCs w:val="24"/>
                <w:u w:val="none"/>
                <w:vertAlign w:val="baseline"/>
              </w:rPr>
              <w:t>- Luật khoa học, công nghệ và đổi mới sáng tạo và Nghị định số 263/2025/NĐ-CP không có quy định về Hội đồng quản lý trong tổ chức khoa học và công lập, thay bằng Cơ chế tự kiểm soát trong tổ chức khoa học và công nghệ công lập để các tổ chức tự lựa chọn phương thức phù hợp.</w:t>
            </w:r>
          </w:p>
          <w:p w14:paraId="18AAF2D6">
            <w:pPr>
              <w:pStyle w:val="14"/>
              <w:keepNext w:val="0"/>
              <w:keepLines w:val="0"/>
              <w:widowControl/>
              <w:suppressLineNumbers w:val="0"/>
              <w:bidi w:val="0"/>
              <w:spacing w:before="0" w:beforeAutospacing="0" w:after="0" w:afterAutospacing="0" w:line="15" w:lineRule="atLeast"/>
              <w:ind w:left="120" w:right="120"/>
              <w:jc w:val="both"/>
              <w:rPr>
                <w:rFonts w:hint="default" w:ascii="Times New Roman" w:hAnsi="Times New Roman" w:cs="Times New Roman"/>
                <w:color w:val="auto"/>
              </w:rPr>
            </w:pPr>
            <w:r>
              <w:rPr>
                <w:rFonts w:hint="default" w:ascii="Times New Roman" w:hAnsi="Times New Roman" w:cs="Times New Roman"/>
                <w:i w:val="0"/>
                <w:iCs w:val="0"/>
                <w:color w:val="auto"/>
                <w:sz w:val="24"/>
                <w:szCs w:val="24"/>
                <w:u w:val="none"/>
                <w:vertAlign w:val="baseline"/>
              </w:rPr>
              <w:t>- Luật Viên chức số 129/2025/QH15 không quy định về Hội đồng quản lý trong đơn vị sự nghiệp công lập.</w:t>
            </w:r>
          </w:p>
          <w:p w14:paraId="00000026">
            <w:pPr>
              <w:ind w:left="138" w:right="130" w:firstLine="284"/>
              <w:jc w:val="both"/>
              <w:rPr>
                <w:rFonts w:hint="default" w:ascii="Times New Roman" w:hAnsi="Times New Roman" w:cs="Times New Roman"/>
                <w:color w:val="auto"/>
                <w:sz w:val="24"/>
                <w:szCs w:val="24"/>
              </w:rPr>
            </w:pP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00000027">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00000028">
            <w:pPr>
              <w:ind w:firstLine="284"/>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Tiêu chí , 2</w:t>
            </w:r>
            <w:r>
              <w:rPr>
                <w:rFonts w:hint="default" w:ascii="Times New Roman" w:hAnsi="Times New Roman" w:cs="Times New Roman"/>
                <w:color w:val="auto"/>
                <w:sz w:val="24"/>
                <w:szCs w:val="24"/>
                <w:lang w:val="en-US"/>
              </w:rPr>
              <w:t>.3</w:t>
            </w:r>
          </w:p>
        </w:tc>
        <w:tc>
          <w:tcPr>
            <w:tcW w:w="382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tcPr>
          <w:p w14:paraId="1D9139BA">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 Cần làm rõ, hoàn thiện thêm, phân tích rõ lý do tại cột số 4 dẫn đến cần bãi bỏ toàn bộ Thông tư số 19/2022/TT-BKHCN. Cụ thể: </w:t>
            </w:r>
          </w:p>
          <w:p w14:paraId="67604AD1">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Nêu rõ và phân tích lý do vì sao theo Luật Khoa học, Công nghệ và Đổi mới sáng tạo lại không cần thiết hướng dẫn nội dung này.</w:t>
            </w:r>
          </w:p>
          <w:p w14:paraId="7423213E">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Nêu rõ nội dung nào của Nghị quyết số 79-NQ/TW yêu cầu không tổ chức Hội đồng quản lý trong đơn vị sự nghiệp công lập.</w:t>
            </w:r>
          </w:p>
          <w:p w14:paraId="1E38D9FC">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Làm rõ “mối liên hệ” của nhận định “Chưa có các đơn vị sự nghiệp công lập trong lĩnh vực khoa học và công nghệ: tần số vô tuyến điện, bưu chính, viễn thông, công nghệ thông tin” với việc cần bãi bỏ toàn bộ Thông tư số 19/2022/TT-BKHCN.</w:t>
            </w:r>
          </w:p>
          <w:p w14:paraId="3E6EC571">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 Tại thời điểm hiện nay, căn cứ rà soát là Nghị định số 55/2025/NĐ-CP ngày 02/3/2025 của Chính phủ quy định chức năng, nhiệm vụ, quyền hạn và cơ cấu tổ chức của Bộ Khoa học và Công nghệ </w:t>
            </w:r>
            <w:r>
              <w:rPr>
                <w:rFonts w:hint="default" w:ascii="Times New Roman" w:hAnsi="Times New Roman" w:cs="Times New Roman"/>
                <w:b/>
                <w:bCs/>
                <w:i/>
                <w:iCs/>
                <w:color w:val="auto"/>
                <w:sz w:val="24"/>
                <w:szCs w:val="24"/>
              </w:rPr>
              <w:t>đã hết hiệu lực</w:t>
            </w:r>
            <w:r>
              <w:rPr>
                <w:rFonts w:hint="default" w:ascii="Times New Roman" w:hAnsi="Times New Roman" w:cs="Times New Roman"/>
                <w:color w:val="auto"/>
                <w:sz w:val="24"/>
                <w:szCs w:val="24"/>
              </w:rPr>
              <w:t xml:space="preserve">, được thay thế bởi Nghị định số 225/2026/NĐ-CP ngày 24/6/2026 của Chính phủ quy định chức năng, nhiệm vụ, quyền hạn và cơ cấu tổ chức của Bộ Khoa học và Công nghệ. Đề nghị Bộ KHCN rà soát Thông tư số 19/2022/TT-BKHCN với Nghị định số 225/2026/NĐ-CP. </w:t>
            </w:r>
          </w:p>
          <w:p w14:paraId="00000029">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Chỉnh lý tên căn cứ rà soát cho đẩy đủ, chính xác.</w:t>
            </w:r>
          </w:p>
        </w:tc>
      </w:tr>
      <w:tr w14:paraId="7F5D7AC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7EFC500B">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038F195E">
            <w:pPr>
              <w:tabs>
                <w:tab w:val="right" w:pos="8640"/>
              </w:tabs>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08/2023/TT-BTTTT ngày 28/7/2023 của Bộ trưởng Bộ TTTT hướng dẫn về vị trí việc làm lãnh đạo, quản lý và chức danh nghề nghiệp viên chức chuyên ngành; cơ cấu viên chức theo chức danh nghề nghiệp trong đơn vị sự nghiệp công lập thuộc ngành, lĩnh vực Thông tin và Truyền thông (sửa đổi, bổ sung bởi Thông tư số 01/2024/TT-BTTTT ngày 29/3/2024 của Bộ trưởng Bộ TTTT)</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6CF9A35F">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Luật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 số</w:t>
            </w:r>
          </w:p>
          <w:p w14:paraId="66AEF5DC">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129/2025/QH15</w:t>
            </w:r>
          </w:p>
          <w:p w14:paraId="4ED27989">
            <w:pPr>
              <w:tabs>
                <w:tab w:val="right" w:pos="8640"/>
              </w:tabs>
              <w:jc w:val="both"/>
              <w:rPr>
                <w:rFonts w:hint="default" w:ascii="Times New Roman" w:hAnsi="Times New Roman" w:cs="Times New Roman"/>
                <w:color w:val="auto"/>
                <w:sz w:val="24"/>
                <w:szCs w:val="24"/>
              </w:rPr>
            </w:pPr>
            <w:r>
              <w:rPr>
                <w:rFonts w:hint="default" w:ascii="Times New Roman" w:hAnsi="Times New Roman" w:eastAsia="SimSun" w:cs="Times New Roman"/>
                <w:i w:val="0"/>
                <w:iCs w:val="0"/>
                <w:color w:val="auto"/>
                <w:sz w:val="24"/>
                <w:szCs w:val="24"/>
                <w:u w:val="none"/>
                <w:vertAlign w:val="baseline"/>
              </w:rPr>
              <w:t>Nghị định</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số</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232/2026/NĐ-CP quy</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định về</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VTVL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Nghị định số 225/2026/NĐ-CP</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ngày 24/6/2026 của Chính phủ quy định chức năng, nhiệm vụ, quyền hạn và cơ cấu tổ chức của Bộ Khoa học và Công nghệ</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78DADB1">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Ngày 26/6/2026, Chính phủ đã ban hành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232/2026/NĐ-CP quy định về VTVL viên chức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có hiệu lực thi hành ngay và thay thế</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quy định về VTVL quy định tại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106/2020/NĐ-CP. Theo đó, danh mục VTVL, mẫu bản mô</w:t>
            </w:r>
          </w:p>
          <w:p w14:paraId="68768468">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tả công việc và khung năng lực được quy định tại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và áp dụng thống nhất từ Trung 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đến địa phương. Các bộ quản lý ngành không phải hướng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dẫn VTVL như trước đây. Vì vậy, các đơn vị khi xây dựng</w:t>
            </w:r>
            <w:r>
              <w:rPr>
                <w:rFonts w:hint="default" w:ascii="Times New Roman" w:hAnsi="Times New Roman" w:cs="Times New Roman"/>
                <w:color w:val="auto"/>
                <w:sz w:val="24"/>
                <w:szCs w:val="24"/>
                <w:lang w:val="en-US"/>
              </w:rPr>
              <w:t xml:space="preserve"> V</w:t>
            </w:r>
            <w:r>
              <w:rPr>
                <w:rFonts w:hint="default" w:ascii="Times New Roman" w:hAnsi="Times New Roman" w:cs="Times New Roman"/>
                <w:color w:val="auto"/>
                <w:sz w:val="24"/>
                <w:szCs w:val="24"/>
              </w:rPr>
              <w:t>TVL chỉ căn cứ Nghị định số 232/2026/NĐ-CP mà không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căn cứ Thông tư hướng dẫn của các Bộ quản lý ngành như</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trước đây. Đồng thời, các Thông tư hướng dẫn VTVL của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 quản lý ngành không còn hiệu lực thi hành, trong đó</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có Thông tư số 08/2023/TT-BTTT</w:t>
            </w:r>
            <w:r>
              <w:rPr>
                <w:rFonts w:hint="default" w:ascii="Times New Roman" w:hAnsi="Times New Roman" w:cs="Times New Roman"/>
                <w:color w:val="auto"/>
                <w:sz w:val="24"/>
                <w:szCs w:val="24"/>
                <w:lang w:val="en-US"/>
              </w:rPr>
              <w:t>T</w:t>
            </w:r>
            <w:r>
              <w:rPr>
                <w:rFonts w:hint="default" w:ascii="Times New Roman" w:hAnsi="Times New Roman" w:cs="Times New Roman"/>
                <w:color w:val="auto"/>
                <w:sz w:val="24"/>
                <w:szCs w:val="24"/>
              </w:rPr>
              <w:t xml:space="preserve"> ngày 28/7/2023; Thông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tư số 01/2024/TT-BTTTT ngày 29/3/2024 của Bộ trưởng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TTTT</w:t>
            </w: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2BEDEB7F">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Sau khi</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ngành, địa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Phương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hoàn thành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việc phê</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duyệt</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VTVL</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viên chức</w:t>
            </w:r>
            <w:r>
              <w:rPr>
                <w:rFonts w:hint="default" w:ascii="Times New Roman" w:hAnsi="Times New Roman" w:cs="Times New Roman"/>
                <w:color w:val="auto"/>
                <w:sz w:val="24"/>
                <w:szCs w:val="24"/>
                <w:lang w:val="en-US"/>
              </w:rPr>
              <w:t xml:space="preserve">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48586CA4">
            <w:pPr>
              <w:ind w:firstLine="284"/>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Tiêu chí 2.3</w:t>
            </w:r>
          </w:p>
        </w:tc>
        <w:tc>
          <w:tcPr>
            <w:tcW w:w="382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tcPr>
          <w:p w14:paraId="7196F73E">
            <w:pPr>
              <w:ind w:left="139" w:right="129" w:firstLine="284"/>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Bổ sung mới</w:t>
            </w:r>
          </w:p>
        </w:tc>
      </w:tr>
      <w:tr w14:paraId="3779AB8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66E3100">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tcMar>
              <w:top w:w="0" w:type="dxa"/>
              <w:left w:w="0" w:type="dxa"/>
              <w:bottom w:w="0" w:type="dxa"/>
              <w:right w:w="0" w:type="dxa"/>
            </w:tcMar>
            <w:vAlign w:val="top"/>
          </w:tcPr>
          <w:p w14:paraId="270AB048">
            <w:pPr>
              <w:tabs>
                <w:tab w:val="right" w:pos="8640"/>
              </w:tabs>
              <w:jc w:val="both"/>
              <w:rPr>
                <w:rFonts w:hint="default" w:ascii="Times New Roman" w:hAnsi="Times New Roman" w:eastAsia="Times New Roman" w:cs="Times New Roman"/>
                <w:color w:val="auto"/>
                <w:sz w:val="24"/>
                <w:szCs w:val="24"/>
                <w:lang w:val="en" w:eastAsia="en-US" w:bidi="ar-SA"/>
              </w:rPr>
            </w:pPr>
            <w:r>
              <w:rPr>
                <w:rFonts w:hint="default" w:ascii="Times New Roman" w:hAnsi="Times New Roman" w:cs="Times New Roman"/>
                <w:color w:val="auto"/>
                <w:sz w:val="24"/>
                <w:szCs w:val="24"/>
              </w:rPr>
              <w:t>Thông tư số 09/2023/TT-BTTTT ngày 28/7/2023 của Bộ trưởng Bộ Thông tin và Truyền thông hướng dẫn về vị trí việc làm công chức nghiệp vụ chuyên ngành Thông tin và Truyền thông trong cơ quan, tổ chức thuộc ngành, lĩnh vực Thông tin và Truyền thông (sửa đổi, bổ sung bởi Thông tư số 01/2024/TT-BTTTT ngày 29/3/2024 của Bộ trưởng Bộ TTTT)</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1128B466">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Luật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 số</w:t>
            </w:r>
          </w:p>
          <w:p w14:paraId="4BD50F1B">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129/2025/QH15</w:t>
            </w:r>
          </w:p>
          <w:p w14:paraId="5B881F1B">
            <w:pPr>
              <w:tabs>
                <w:tab w:val="right" w:pos="8640"/>
              </w:tabs>
              <w:jc w:val="both"/>
              <w:rPr>
                <w:rFonts w:hint="default" w:ascii="Times New Roman" w:hAnsi="Times New Roman" w:eastAsia="SimSun" w:cs="Times New Roman"/>
                <w:i w:val="0"/>
                <w:iCs w:val="0"/>
                <w:color w:val="auto"/>
                <w:sz w:val="24"/>
                <w:szCs w:val="24"/>
                <w:u w:val="none"/>
                <w:vertAlign w:val="baseline"/>
                <w:lang w:val="en-US"/>
              </w:rPr>
            </w:pPr>
            <w:r>
              <w:rPr>
                <w:rFonts w:hint="default" w:ascii="Times New Roman" w:hAnsi="Times New Roman" w:cs="Times New Roman"/>
                <w:color w:val="auto"/>
                <w:sz w:val="24"/>
                <w:szCs w:val="24"/>
                <w:lang w:val="en-US"/>
              </w:rPr>
              <w:t>Nghị định số 361/2025/NĐ-CP ngày 31/12/2025 của Chính phủ quy định về vị trí việc làm công chức</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742EBC71">
            <w:pPr>
              <w:ind w:right="130" w:rightChars="0"/>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lang w:val="en-US"/>
              </w:rPr>
              <w:t xml:space="preserve"> Nghị định số 361/2025/NĐ-CP thay thế các quy định về VTVL quy định tại Nghị định số 62/2020/NĐ-CP . Theo đó, danh mục VTVL, mẫu bản mô tả công việc và khung năng lực được quy định tại Nghị định số 361/2025/NĐ-CP và áp dụng thống nhất từ Trung ương đến địa phương. Các bộ quản lý ngành không phải hướng dẫn VTVL như trước đây. Vì vậy, các đơn vị khi xây dựng VTVL chỉ căn cứ Nghị định số 361/2025/NĐ-CP mà không căn cứ Thông tư hướng dẫn của các Bộ quản lý ngành như trước đây. Đồng thời, các Thông tư hướng dẫn VTVL của các bộ quản lý ngành không còn hiệu lực thi hành, trong đó có Thông tư số 09/2023/TT-BTTTT (sửa đổi, bổ sung bởi Thông tư số 01/2024/TT-BTTTT ngày 29/3/2024 của Bộ trưởng Bộ TTTT).</w:t>
            </w: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5C611CAC">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Sau khi</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ngành, địa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Phương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hoàn thành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việc phê</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duyệt</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VTVL</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viên chức</w:t>
            </w:r>
            <w:r>
              <w:rPr>
                <w:rFonts w:hint="default" w:ascii="Times New Roman" w:hAnsi="Times New Roman" w:cs="Times New Roman"/>
                <w:color w:val="auto"/>
                <w:sz w:val="24"/>
                <w:szCs w:val="24"/>
                <w:lang w:val="en-US"/>
              </w:rPr>
              <w:t xml:space="preserve">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0DD93127">
            <w:pPr>
              <w:ind w:firstLine="284" w:firstLineChars="0"/>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Tiêu chí 2.3</w:t>
            </w:r>
          </w:p>
        </w:tc>
        <w:tc>
          <w:tcPr>
            <w:tcW w:w="382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74A0F377">
            <w:pPr>
              <w:ind w:left="139" w:leftChars="0" w:right="129" w:rightChars="0" w:firstLine="284" w:firstLineChars="0"/>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Bổ sung mới</w:t>
            </w:r>
          </w:p>
          <w:p w14:paraId="7F4E00F0">
            <w:pPr>
              <w:ind w:left="139" w:leftChars="0" w:right="129" w:rightChars="0" w:firstLine="284" w:firstLineChars="0"/>
              <w:jc w:val="both"/>
              <w:rPr>
                <w:rFonts w:hint="default" w:ascii="Times New Roman" w:hAnsi="Times New Roman" w:cs="Times New Roman"/>
                <w:color w:val="auto"/>
                <w:sz w:val="24"/>
                <w:szCs w:val="24"/>
                <w:lang w:val="en-US"/>
              </w:rPr>
            </w:pPr>
          </w:p>
        </w:tc>
      </w:tr>
      <w:tr w14:paraId="1C52B67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1E706D23">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tcMar>
              <w:top w:w="0" w:type="dxa"/>
              <w:left w:w="0" w:type="dxa"/>
              <w:bottom w:w="0" w:type="dxa"/>
              <w:right w:w="0" w:type="dxa"/>
            </w:tcMar>
            <w:vAlign w:val="top"/>
          </w:tcPr>
          <w:p w14:paraId="4D4E1384">
            <w:pPr>
              <w:tabs>
                <w:tab w:val="right" w:pos="8640"/>
              </w:tabs>
              <w:jc w:val="both"/>
              <w:rPr>
                <w:rFonts w:hint="default" w:ascii="Times New Roman" w:hAnsi="Times New Roman" w:eastAsia="Times New Roman" w:cs="Times New Roman"/>
                <w:color w:val="auto"/>
                <w:sz w:val="24"/>
                <w:szCs w:val="24"/>
                <w:lang w:val="en" w:eastAsia="en-US" w:bidi="ar-SA"/>
              </w:rPr>
            </w:pPr>
            <w:r>
              <w:rPr>
                <w:rFonts w:hint="default" w:ascii="Times New Roman" w:hAnsi="Times New Roman" w:cs="Times New Roman"/>
                <w:color w:val="auto"/>
                <w:sz w:val="24"/>
                <w:szCs w:val="24"/>
              </w:rPr>
              <w:t>Thông tư số 16/2023/TT-BKHCN của Bộ trưởng Bộ Khoa học và Công nghệ hướng dẫn về vị trí việc làm công chức nghiệp vụ chuyên ngành khoa học và công nghệ trong cơ quan, tổ chức thuộc ngành, lĩnh vực khoa học và công nghệ</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322BDCA4">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Luật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 số</w:t>
            </w:r>
          </w:p>
          <w:p w14:paraId="485727D3">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129/2025/QH15</w:t>
            </w:r>
          </w:p>
          <w:p w14:paraId="69765B7F">
            <w:pPr>
              <w:tabs>
                <w:tab w:val="right" w:pos="8640"/>
              </w:tabs>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Nghị định số 361/2025/NĐ-CP ngày 31/12/2025 của Chính phủ quy định về vị trí việc làm công chức</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4F796675">
            <w:pPr>
              <w:ind w:right="130" w:rightChars="0"/>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 xml:space="preserve"> Nghị định số 361/2025/NĐ-CP thay thế các quy định về VTVL quy định tại Nghị định số 62/2020/NĐ-CP . Theo đó, danh mục VTVL, mẫu bản mô tả công việc và khung năng lực được quy định tại Nghị định số 361/2025/NĐ-CP và áp dụng thống nhất từ Trung ương đến địa phương. Các bộ quản lý ngành không phải hướng dẫn VTVL như trước đây. Vì vậy, các đơn vị khi xây dựng VTVL chỉ căn cứ Nghị định số 361/2025/NĐ-CP mà không căn cứ Thông tư hướng dẫn của các Bộ quản lý ngành như trước đây. Đồng thời, các Thông tư hướng dẫn VTVL của các bộ quản lý ngành không còn hiệu lực thi hành, trong đó có Thông tư số 09/2023/TT-BTTTT (sửa đổi, bổ sung bởi Thông tư số 01/2024/TT-BTTTT ngày 29/3/2024 của Bộ trưởng Bộ TTTT).</w:t>
            </w: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0939A6E6">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Sau khi</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ngành, địa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Phương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hoàn thành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việc phê</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duyệt</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VTVL</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viên chức</w:t>
            </w:r>
            <w:r>
              <w:rPr>
                <w:rFonts w:hint="default" w:ascii="Times New Roman" w:hAnsi="Times New Roman" w:cs="Times New Roman"/>
                <w:color w:val="auto"/>
                <w:sz w:val="24"/>
                <w:szCs w:val="24"/>
                <w:lang w:val="en-US"/>
              </w:rPr>
              <w:t xml:space="preserve">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5DCE9FBF">
            <w:pPr>
              <w:ind w:firstLine="284" w:firstLineChars="0"/>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Tiêu chí 2.3</w:t>
            </w:r>
          </w:p>
        </w:tc>
        <w:tc>
          <w:tcPr>
            <w:tcW w:w="382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6E0A893F">
            <w:pPr>
              <w:ind w:left="139" w:leftChars="0" w:right="129" w:rightChars="0" w:firstLine="284" w:firstLineChars="0"/>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Bổ sung mới</w:t>
            </w:r>
          </w:p>
          <w:p w14:paraId="7AE66BEC">
            <w:pPr>
              <w:ind w:left="139" w:leftChars="0" w:right="129" w:rightChars="0" w:firstLine="284" w:firstLineChars="0"/>
              <w:jc w:val="both"/>
              <w:rPr>
                <w:rFonts w:hint="default" w:ascii="Times New Roman" w:hAnsi="Times New Roman" w:cs="Times New Roman"/>
                <w:color w:val="auto"/>
                <w:sz w:val="24"/>
                <w:szCs w:val="24"/>
                <w:lang w:val="en-US"/>
              </w:rPr>
            </w:pPr>
          </w:p>
        </w:tc>
      </w:tr>
      <w:tr w14:paraId="15CC9BC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3FDDE114">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tcMar>
              <w:top w:w="0" w:type="dxa"/>
              <w:left w:w="0" w:type="dxa"/>
              <w:bottom w:w="0" w:type="dxa"/>
              <w:right w:w="0" w:type="dxa"/>
            </w:tcMar>
            <w:vAlign w:val="top"/>
          </w:tcPr>
          <w:p w14:paraId="7F926CF6">
            <w:pPr>
              <w:tabs>
                <w:tab w:val="right" w:pos="8640"/>
              </w:tabs>
              <w:jc w:val="both"/>
              <w:rPr>
                <w:rFonts w:hint="default" w:ascii="Times New Roman" w:hAnsi="Times New Roman" w:eastAsia="Times New Roman" w:cs="Times New Roman"/>
                <w:color w:val="auto"/>
                <w:sz w:val="24"/>
                <w:szCs w:val="24"/>
                <w:lang w:val="en" w:eastAsia="en-US" w:bidi="ar-SA"/>
              </w:rPr>
            </w:pPr>
            <w:r>
              <w:rPr>
                <w:rFonts w:hint="default" w:ascii="Times New Roman" w:hAnsi="Times New Roman" w:cs="Times New Roman"/>
                <w:color w:val="auto"/>
                <w:sz w:val="24"/>
                <w:szCs w:val="24"/>
              </w:rPr>
              <w:t>Thông tư số 17/2023/TT-BKHCN của Bộ trưởng Bộ KHCN hướng dẫn về vị trí việc làm lãnh đạo, quản lý và chức danh nghề nghiệp chuyên ngành khoa học và công nghệ, cơ cấu viên chức theo chức danh nghề nghiệp trong tổ chức KHCN công lập</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07556033">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Luật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 số</w:t>
            </w:r>
          </w:p>
          <w:p w14:paraId="2C4F4E3B">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129/2025/QH15</w:t>
            </w:r>
          </w:p>
          <w:p w14:paraId="3D73F74C">
            <w:pPr>
              <w:tabs>
                <w:tab w:val="right" w:pos="8640"/>
              </w:tabs>
              <w:jc w:val="both"/>
              <w:rPr>
                <w:rFonts w:hint="default" w:ascii="Times New Roman" w:hAnsi="Times New Roman" w:eastAsia="Times New Roman" w:cs="Times New Roman"/>
                <w:color w:val="auto"/>
                <w:sz w:val="24"/>
                <w:szCs w:val="24"/>
                <w:lang w:val="en-US" w:eastAsia="en-US" w:bidi="ar-SA"/>
              </w:rPr>
            </w:pPr>
            <w:r>
              <w:rPr>
                <w:rFonts w:hint="default" w:ascii="Times New Roman" w:hAnsi="Times New Roman" w:eastAsia="SimSun" w:cs="Times New Roman"/>
                <w:i w:val="0"/>
                <w:iCs w:val="0"/>
                <w:color w:val="auto"/>
                <w:sz w:val="24"/>
                <w:szCs w:val="24"/>
                <w:u w:val="none"/>
                <w:vertAlign w:val="baseline"/>
              </w:rPr>
              <w:t>Nghị định</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số</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232/2026/NĐ-CP quy</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định về</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VTVL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Nghị định số 225/2026/NĐ-CP</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ngày 24/6/2026 của Chính phủ quy định chức năng, nhiệm vụ, quyền hạn và cơ cấu tổ chức của Bộ Khoa học và Công nghệ</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5C6BB657">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Ngày 26/6/2026, Chính phủ đã ban hành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232/2026/NĐ-CP quy định về VTVL viên chức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có hiệu lực thi hành ngay và thay thế</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quy định về VTVL quy định tại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106/2020/NĐ-CP. Theo đó, danh mục VTVL, mẫu bản mô</w:t>
            </w:r>
          </w:p>
          <w:p w14:paraId="4D36A5D6">
            <w:pPr>
              <w:ind w:left="138" w:leftChars="0" w:right="130" w:rightChars="0" w:firstLine="284" w:firstLineChars="0"/>
              <w:jc w:val="both"/>
              <w:rPr>
                <w:rFonts w:hint="default" w:ascii="Times New Roman" w:hAnsi="Times New Roman" w:eastAsia="Times New Roman" w:cs="Times New Roman"/>
                <w:color w:val="auto"/>
                <w:sz w:val="24"/>
                <w:szCs w:val="24"/>
                <w:lang w:val="en-US" w:eastAsia="en-US" w:bidi="ar-SA"/>
              </w:rPr>
            </w:pPr>
            <w:r>
              <w:rPr>
                <w:rFonts w:hint="default" w:ascii="Times New Roman" w:hAnsi="Times New Roman" w:cs="Times New Roman"/>
                <w:color w:val="auto"/>
                <w:sz w:val="24"/>
                <w:szCs w:val="24"/>
              </w:rPr>
              <w:t>tả công việc và khung năng lực được quy định tại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và áp dụng thống nhất từ Trung 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đến địa phương. Các bộ quản lý ngành không phải hướng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dẫn VTVL như trước đây. Vì vậy, các đơn vị khi xây dựng</w:t>
            </w:r>
            <w:r>
              <w:rPr>
                <w:rFonts w:hint="default" w:ascii="Times New Roman" w:hAnsi="Times New Roman" w:cs="Times New Roman"/>
                <w:color w:val="auto"/>
                <w:sz w:val="24"/>
                <w:szCs w:val="24"/>
                <w:lang w:val="en-US"/>
              </w:rPr>
              <w:t xml:space="preserve"> V</w:t>
            </w:r>
            <w:r>
              <w:rPr>
                <w:rFonts w:hint="default" w:ascii="Times New Roman" w:hAnsi="Times New Roman" w:cs="Times New Roman"/>
                <w:color w:val="auto"/>
                <w:sz w:val="24"/>
                <w:szCs w:val="24"/>
              </w:rPr>
              <w:t>TVL chỉ căn cứ Nghị định số 232/2026/NĐ-CP mà không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căn cứ Thông tư hướng dẫn của các Bộ quản lý ngành như</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trước đây. Đồng thời, các Thông tư hướng dẫn VTVL của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 quản lý ngành không còn hiệu lực thi hành, trong đó</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có Thông tư số 08/2023/TT-BTTT</w:t>
            </w:r>
            <w:r>
              <w:rPr>
                <w:rFonts w:hint="default" w:ascii="Times New Roman" w:hAnsi="Times New Roman" w:cs="Times New Roman"/>
                <w:color w:val="auto"/>
                <w:sz w:val="24"/>
                <w:szCs w:val="24"/>
                <w:lang w:val="en-US"/>
              </w:rPr>
              <w:t>T</w:t>
            </w:r>
            <w:r>
              <w:rPr>
                <w:rFonts w:hint="default" w:ascii="Times New Roman" w:hAnsi="Times New Roman" w:cs="Times New Roman"/>
                <w:color w:val="auto"/>
                <w:sz w:val="24"/>
                <w:szCs w:val="24"/>
              </w:rPr>
              <w:t xml:space="preserve"> ngày 28/7/2023; Thông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tư số 01/2024/TT-BTTTT ngày 29/3/2024 của Bộ trưởng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TTTT</w:t>
            </w: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4D8294F9">
            <w:pPr>
              <w:jc w:val="both"/>
              <w:rPr>
                <w:rFonts w:hint="default" w:ascii="Times New Roman" w:hAnsi="Times New Roman" w:eastAsia="Times New Roman" w:cs="Times New Roman"/>
                <w:color w:val="auto"/>
                <w:sz w:val="24"/>
                <w:szCs w:val="24"/>
                <w:lang w:val="en" w:eastAsia="en-US" w:bidi="ar-SA"/>
              </w:rPr>
            </w:pPr>
            <w:r>
              <w:rPr>
                <w:rFonts w:hint="default" w:ascii="Times New Roman" w:hAnsi="Times New Roman" w:cs="Times New Roman"/>
                <w:color w:val="auto"/>
                <w:sz w:val="24"/>
                <w:szCs w:val="24"/>
              </w:rPr>
              <w:t>Sau khi</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ngành, địa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Phương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hoàn thành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việc phê</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duyệt</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VTVL</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viên chức</w:t>
            </w:r>
            <w:r>
              <w:rPr>
                <w:rFonts w:hint="default" w:ascii="Times New Roman" w:hAnsi="Times New Roman" w:cs="Times New Roman"/>
                <w:color w:val="auto"/>
                <w:sz w:val="24"/>
                <w:szCs w:val="24"/>
                <w:lang w:val="en-US"/>
              </w:rPr>
              <w:t xml:space="preserve">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2B103776">
            <w:pPr>
              <w:ind w:firstLine="284" w:firstLineChars="0"/>
              <w:jc w:val="center"/>
              <w:rPr>
                <w:rFonts w:hint="default" w:ascii="Times New Roman" w:hAnsi="Times New Roman" w:eastAsia="Times New Roman" w:cs="Times New Roman"/>
                <w:color w:val="auto"/>
                <w:sz w:val="24"/>
                <w:szCs w:val="24"/>
                <w:lang w:val="en-US" w:eastAsia="en-US" w:bidi="ar-SA"/>
              </w:rPr>
            </w:pPr>
            <w:r>
              <w:rPr>
                <w:rFonts w:hint="default" w:ascii="Times New Roman" w:hAnsi="Times New Roman" w:cs="Times New Roman"/>
                <w:color w:val="auto"/>
                <w:sz w:val="24"/>
                <w:szCs w:val="24"/>
                <w:lang w:val="en-US"/>
              </w:rPr>
              <w:t>Tiêu chí 2.3</w:t>
            </w:r>
          </w:p>
        </w:tc>
        <w:tc>
          <w:tcPr>
            <w:tcW w:w="3829" w:type="dxa"/>
            <w:tcBorders>
              <w:top w:val="single" w:color="000000" w:sz="4" w:space="0"/>
              <w:left w:val="single" w:color="000000" w:sz="4" w:space="0"/>
              <w:bottom w:val="single" w:color="000000" w:sz="4" w:space="0"/>
              <w:right w:val="single" w:color="000000" w:sz="4" w:space="0"/>
            </w:tcBorders>
            <w:shd w:val="clear"/>
            <w:tcMar>
              <w:top w:w="0" w:type="dxa"/>
              <w:left w:w="0" w:type="dxa"/>
              <w:bottom w:w="0" w:type="dxa"/>
              <w:right w:w="0" w:type="dxa"/>
            </w:tcMar>
            <w:vAlign w:val="top"/>
          </w:tcPr>
          <w:p w14:paraId="43D8C5FD">
            <w:pPr>
              <w:ind w:left="139" w:leftChars="0" w:right="129" w:rightChars="0" w:firstLine="284" w:firstLineChars="0"/>
              <w:jc w:val="both"/>
              <w:rPr>
                <w:rFonts w:hint="default" w:ascii="Times New Roman" w:hAnsi="Times New Roman" w:eastAsia="Times New Roman" w:cs="Times New Roman"/>
                <w:color w:val="auto"/>
                <w:sz w:val="24"/>
                <w:szCs w:val="24"/>
                <w:lang w:val="en-US" w:eastAsia="en-US" w:bidi="ar-SA"/>
              </w:rPr>
            </w:pPr>
            <w:r>
              <w:rPr>
                <w:rFonts w:hint="default" w:ascii="Times New Roman" w:hAnsi="Times New Roman" w:cs="Times New Roman"/>
                <w:color w:val="auto"/>
                <w:sz w:val="24"/>
                <w:szCs w:val="24"/>
                <w:lang w:val="en-US"/>
              </w:rPr>
              <w:t>Bổ sung mới</w:t>
            </w:r>
          </w:p>
        </w:tc>
      </w:tr>
      <w:tr w14:paraId="67DA4CB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503EA988">
            <w:pPr>
              <w:numPr>
                <w:ilvl w:val="0"/>
                <w:numId w:val="1"/>
              </w:numPr>
              <w:pBdr>
                <w:top w:val="none" w:color="auto" w:sz="0" w:space="0"/>
                <w:left w:val="none" w:color="auto" w:sz="0" w:space="0"/>
                <w:bottom w:val="none" w:color="auto" w:sz="0" w:space="0"/>
                <w:right w:val="none" w:color="auto" w:sz="0" w:space="0"/>
                <w:between w:val="none" w:color="auto" w:sz="0" w:space="0"/>
              </w:pBdr>
              <w:ind w:left="140" w:leftChars="0" w:firstLine="142"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tcMar>
              <w:top w:w="0" w:type="dxa"/>
              <w:left w:w="0" w:type="dxa"/>
              <w:bottom w:w="0" w:type="dxa"/>
              <w:right w:w="0" w:type="dxa"/>
            </w:tcMar>
            <w:vAlign w:val="top"/>
          </w:tcPr>
          <w:p w14:paraId="5E608119">
            <w:pPr>
              <w:tabs>
                <w:tab w:val="right" w:pos="8640"/>
              </w:tabs>
              <w:jc w:val="both"/>
              <w:rPr>
                <w:rFonts w:hint="default" w:ascii="Times New Roman" w:hAnsi="Times New Roman" w:cs="Times New Roman"/>
                <w:color w:val="auto"/>
                <w:sz w:val="24"/>
                <w:szCs w:val="24"/>
              </w:rPr>
            </w:pPr>
            <w:r>
              <w:rPr>
                <w:rFonts w:hint="default" w:ascii="Times New Roman" w:hAnsi="Times New Roman" w:eastAsia="SimSun" w:cs="Times New Roman"/>
                <w:i w:val="0"/>
                <w:iCs w:val="0"/>
                <w:color w:val="auto"/>
                <w:sz w:val="24"/>
                <w:szCs w:val="24"/>
                <w:u w:val="none"/>
                <w:vertAlign w:val="baseline"/>
              </w:rPr>
              <w:t>Thông tư số 12/2024/TT-BTTTT ngày 23/9/2024 của Bộ trưởng Bộ TTTT quy định tiêu chuẩn, điều kiện xét thăng hạng chức danh nghề nghiệp viên chức chuyên ngành Thông tin và Truyền thông</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6799A023">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Luật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 số</w:t>
            </w:r>
          </w:p>
          <w:p w14:paraId="6599086D">
            <w:pPr>
              <w:tabs>
                <w:tab w:val="right" w:pos="8640"/>
              </w:tabs>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129/2025/QH15</w:t>
            </w:r>
          </w:p>
          <w:p w14:paraId="7B6D0090">
            <w:pPr>
              <w:tabs>
                <w:tab w:val="right" w:pos="8640"/>
              </w:tabs>
              <w:jc w:val="both"/>
              <w:rPr>
                <w:rFonts w:hint="default" w:ascii="Times New Roman" w:hAnsi="Times New Roman" w:eastAsia="Times New Roman" w:cs="Times New Roman"/>
                <w:color w:val="auto"/>
                <w:sz w:val="24"/>
                <w:szCs w:val="24"/>
                <w:lang w:val="en-US" w:eastAsia="en-US" w:bidi="ar-SA"/>
              </w:rPr>
            </w:pPr>
            <w:r>
              <w:rPr>
                <w:rFonts w:hint="default" w:ascii="Times New Roman" w:hAnsi="Times New Roman" w:eastAsia="SimSun" w:cs="Times New Roman"/>
                <w:i w:val="0"/>
                <w:iCs w:val="0"/>
                <w:color w:val="auto"/>
                <w:sz w:val="24"/>
                <w:szCs w:val="24"/>
                <w:u w:val="none"/>
                <w:vertAlign w:val="baseline"/>
              </w:rPr>
              <w:t>Nghị định</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số</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232/2026/NĐ-CP quy</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định về</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VTVL viên</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Chức</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Nghị định số 225/2026/NĐ-CP</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ngày 24/6/2026 của Chính phủ quy định chức năng, nhiệm vụ, quyền hạn và cơ cấu tổ chức của Bộ Khoa học và Công nghệ</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vAlign w:val="top"/>
          </w:tcPr>
          <w:p w14:paraId="09898542">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Ngày 26/6/2026, Chính phủ đã ban hành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232/2026/NĐ-CP quy định về VTVL viên chức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có hiệu lực thi hành ngay và thay thế</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quy định về VTVL quy định tại Nghị định số</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106/2020/NĐ-CP. Theo đó, danh mục VTVL, mẫu bản mô</w:t>
            </w:r>
          </w:p>
          <w:p w14:paraId="7220219F">
            <w:pPr>
              <w:ind w:left="138" w:leftChars="0" w:right="130" w:rightChars="0" w:firstLine="284" w:firstLineChars="0"/>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tả công việc và khung năng lực được quy định tại Nghị định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số 232/2026/NĐ-CP và áp dụng thống nhất từ Trung 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đến địa phương. Các bộ quản lý ngành không phải hướng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dẫn VTVL như trước đây. Vì vậy, các đơn vị khi xây dựng</w:t>
            </w:r>
            <w:r>
              <w:rPr>
                <w:rFonts w:hint="default" w:ascii="Times New Roman" w:hAnsi="Times New Roman" w:cs="Times New Roman"/>
                <w:color w:val="auto"/>
                <w:sz w:val="24"/>
                <w:szCs w:val="24"/>
                <w:lang w:val="en-US"/>
              </w:rPr>
              <w:t xml:space="preserve"> V</w:t>
            </w:r>
            <w:r>
              <w:rPr>
                <w:rFonts w:hint="default" w:ascii="Times New Roman" w:hAnsi="Times New Roman" w:cs="Times New Roman"/>
                <w:color w:val="auto"/>
                <w:sz w:val="24"/>
                <w:szCs w:val="24"/>
              </w:rPr>
              <w:t>TVL chỉ căn cứ Nghị định số 232/2026/NĐ-CP mà không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căn cứ Thông tư hướng dẫn của các Bộ quản lý ngành như</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trước đây. Đồng thời, các Thông tư hướng dẫn VTVL của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 quản lý ngành không còn hiệu lực thi hành, trong đó</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có Thông tư số 08/2023/TT-BTTT</w:t>
            </w:r>
            <w:r>
              <w:rPr>
                <w:rFonts w:hint="default" w:ascii="Times New Roman" w:hAnsi="Times New Roman" w:cs="Times New Roman"/>
                <w:color w:val="auto"/>
                <w:sz w:val="24"/>
                <w:szCs w:val="24"/>
                <w:lang w:val="en-US"/>
              </w:rPr>
              <w:t>T</w:t>
            </w:r>
            <w:r>
              <w:rPr>
                <w:rFonts w:hint="default" w:ascii="Times New Roman" w:hAnsi="Times New Roman" w:cs="Times New Roman"/>
                <w:color w:val="auto"/>
                <w:sz w:val="24"/>
                <w:szCs w:val="24"/>
              </w:rPr>
              <w:t xml:space="preserve"> ngày 28/7/2023; Thông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tư số 01/2024/TT-BTTTT ngày 29/3/2024 của Bộ trưởng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TTTT</w:t>
            </w:r>
          </w:p>
          <w:p w14:paraId="156C8317">
            <w:pPr>
              <w:ind w:left="138" w:leftChars="0" w:right="130" w:rightChars="0" w:firstLine="284" w:firstLineChars="0"/>
              <w:jc w:val="both"/>
              <w:rPr>
                <w:rFonts w:hint="default" w:ascii="Times New Roman" w:hAnsi="Times New Roman" w:cs="Times New Roman"/>
                <w:color w:val="auto"/>
                <w:sz w:val="24"/>
                <w:szCs w:val="24"/>
                <w:lang w:val="en-US" w:eastAsia="en-US"/>
              </w:rPr>
            </w:pP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23D3B91B">
            <w:pPr>
              <w:jc w:val="both"/>
              <w:rPr>
                <w:rFonts w:hint="default" w:ascii="Times New Roman" w:hAnsi="Times New Roman" w:eastAsia="Times New Roman" w:cs="Times New Roman"/>
                <w:color w:val="auto"/>
                <w:sz w:val="24"/>
                <w:szCs w:val="24"/>
                <w:lang w:val="en" w:eastAsia="en-US" w:bidi="ar-SA"/>
              </w:rPr>
            </w:pPr>
            <w:r>
              <w:rPr>
                <w:rFonts w:hint="default" w:ascii="Times New Roman" w:hAnsi="Times New Roman" w:cs="Times New Roman"/>
                <w:color w:val="auto"/>
                <w:sz w:val="24"/>
                <w:szCs w:val="24"/>
              </w:rPr>
              <w:t>Sau khi</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các bộ,</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ngành, địa</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Phương</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hoàn thành</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việc phê</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duyệt</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VTVL</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viên chức</w:t>
            </w:r>
            <w:r>
              <w:rPr>
                <w:rFonts w:hint="default" w:ascii="Times New Roman" w:hAnsi="Times New Roman" w:cs="Times New Roman"/>
                <w:color w:val="auto"/>
                <w:sz w:val="24"/>
                <w:szCs w:val="24"/>
                <w:lang w:val="en-US"/>
              </w:rPr>
              <w:t xml:space="preserve">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14:paraId="541D52EA">
            <w:pPr>
              <w:ind w:firstLine="284" w:firstLineChars="0"/>
              <w:jc w:val="center"/>
              <w:rPr>
                <w:rFonts w:hint="default" w:ascii="Times New Roman" w:hAnsi="Times New Roman" w:eastAsia="Times New Roman" w:cs="Times New Roman"/>
                <w:color w:val="auto"/>
                <w:sz w:val="24"/>
                <w:szCs w:val="24"/>
                <w:lang w:val="en-US" w:eastAsia="en-US" w:bidi="ar-SA"/>
              </w:rPr>
            </w:pPr>
            <w:r>
              <w:rPr>
                <w:rFonts w:hint="default" w:ascii="Times New Roman" w:hAnsi="Times New Roman" w:cs="Times New Roman"/>
                <w:color w:val="auto"/>
                <w:sz w:val="24"/>
                <w:szCs w:val="24"/>
                <w:lang w:val="en-US"/>
              </w:rPr>
              <w:t>Tiêu chí 2.3</w:t>
            </w:r>
          </w:p>
        </w:tc>
        <w:tc>
          <w:tcPr>
            <w:tcW w:w="3829" w:type="dxa"/>
            <w:tcBorders>
              <w:top w:val="single" w:color="000000" w:sz="4" w:space="0"/>
              <w:left w:val="single" w:color="000000" w:sz="4" w:space="0"/>
              <w:bottom w:val="single" w:color="000000" w:sz="4" w:space="0"/>
              <w:right w:val="single" w:color="000000" w:sz="4" w:space="0"/>
            </w:tcBorders>
            <w:shd w:val="clear" w:color="auto" w:fill="auto"/>
            <w:tcMar>
              <w:top w:w="0" w:type="dxa"/>
              <w:left w:w="0" w:type="dxa"/>
              <w:bottom w:w="0" w:type="dxa"/>
              <w:right w:w="0" w:type="dxa"/>
            </w:tcMar>
            <w:vAlign w:val="top"/>
          </w:tcPr>
          <w:p w14:paraId="48D2169A">
            <w:pPr>
              <w:ind w:left="139" w:leftChars="0" w:right="129" w:rightChars="0" w:firstLine="284" w:firstLineChars="0"/>
              <w:jc w:val="both"/>
              <w:rPr>
                <w:rFonts w:hint="default" w:ascii="Times New Roman" w:hAnsi="Times New Roman" w:eastAsia="Times New Roman" w:cs="Times New Roman"/>
                <w:color w:val="auto"/>
                <w:sz w:val="24"/>
                <w:szCs w:val="24"/>
                <w:lang w:val="en-US" w:eastAsia="en-US" w:bidi="ar-SA"/>
              </w:rPr>
            </w:pPr>
            <w:r>
              <w:rPr>
                <w:rFonts w:hint="default" w:ascii="Times New Roman" w:hAnsi="Times New Roman" w:cs="Times New Roman"/>
                <w:color w:val="auto"/>
                <w:sz w:val="24"/>
                <w:szCs w:val="24"/>
                <w:lang w:val="en-US"/>
              </w:rPr>
              <w:t>Bổ sung mới</w:t>
            </w:r>
          </w:p>
        </w:tc>
      </w:tr>
      <w:tr w14:paraId="5F57D99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14575" w:type="dxa"/>
            <w:gridSpan w:val="7"/>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275C3024">
            <w:pPr>
              <w:ind w:right="130" w:firstLine="284"/>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II. LĨNH VỰC VIỄN THÔNG</w:t>
            </w:r>
          </w:p>
        </w:tc>
      </w:tr>
      <w:tr w14:paraId="4842768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32">
            <w:pPr>
              <w:numPr>
                <w:ilvl w:val="0"/>
                <w:numId w:val="2"/>
              </w:numPr>
              <w:pBdr>
                <w:top w:val="none" w:color="auto" w:sz="0" w:space="0"/>
                <w:left w:val="none" w:color="auto" w:sz="0" w:space="0"/>
                <w:bottom w:val="none" w:color="auto" w:sz="0" w:space="0"/>
                <w:right w:val="none" w:color="auto" w:sz="0" w:space="0"/>
                <w:between w:val="none" w:color="auto" w:sz="0" w:space="0"/>
              </w:pBdr>
              <w:ind w:left="130" w:firstLine="284"/>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33">
            <w:pPr>
              <w:ind w:left="18" w:right="5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28/2014/TT-BTTTT ngày 30/12/2014 Quy định về việc thừa nhận phòng thử nghiệm theo các thoả thuận thừa nhận lẫn nhau về đánh giá phù hợp đối với sản phẩm, hàng hóa lĩnh vực viễn thông và công nghệ thông tin</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34">
            <w:pPr>
              <w:ind w:right="5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Nghị định số 225/2026/NĐ-CP ngày 24/6/2026 của Chính phủ quy định chức năng, nhiệm vụ, quyền hạn và cơ cấu tổ chức của Bộ Khoa học và Công nghệ</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35">
            <w:pPr>
              <w:ind w:left="138" w:right="130" w:firstLine="284"/>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 xml:space="preserve">Sau khi hợp nhất, sáp nhập tinh gọn bộ máy tổ chức, Bộ </w:t>
            </w:r>
            <w:r>
              <w:rPr>
                <w:rFonts w:hint="default" w:ascii="Times New Roman" w:hAnsi="Times New Roman" w:cs="Times New Roman"/>
                <w:color w:val="auto"/>
                <w:sz w:val="24"/>
                <w:szCs w:val="24"/>
                <w:lang w:val="en-US"/>
              </w:rPr>
              <w:t>thông tin và truyền thông</w:t>
            </w:r>
            <w:r>
              <w:rPr>
                <w:rFonts w:hint="default" w:ascii="Times New Roman" w:hAnsi="Times New Roman" w:cs="Times New Roman"/>
                <w:color w:val="auto"/>
                <w:sz w:val="24"/>
                <w:szCs w:val="24"/>
              </w:rPr>
              <w:t xml:space="preserve"> đã sáp nhập với Bộ </w:t>
            </w:r>
            <w:r>
              <w:rPr>
                <w:rFonts w:hint="default" w:ascii="Times New Roman" w:hAnsi="Times New Roman" w:cs="Times New Roman"/>
                <w:color w:val="auto"/>
                <w:sz w:val="24"/>
                <w:szCs w:val="24"/>
                <w:lang w:val="en-US"/>
              </w:rPr>
              <w:t>Khoa học và Công nghệ</w:t>
            </w:r>
            <w:r>
              <w:rPr>
                <w:rFonts w:hint="default" w:ascii="Times New Roman" w:hAnsi="Times New Roman" w:cs="Times New Roman"/>
                <w:color w:val="auto"/>
                <w:sz w:val="24"/>
                <w:szCs w:val="24"/>
              </w:rPr>
              <w:t xml:space="preserve"> và không còn Vụ khoa học và công nghệ</w:t>
            </w:r>
            <w:r>
              <w:rPr>
                <w:rFonts w:hint="default" w:ascii="Times New Roman" w:hAnsi="Times New Roman" w:cs="Times New Roman"/>
                <w:color w:val="auto"/>
                <w:sz w:val="24"/>
                <w:szCs w:val="24"/>
                <w:lang w:val="en-US"/>
              </w:rPr>
              <w:t>. Chức năng quản lý nhà nước về phòng thử nghiệm của Bộ hiện do Uỷ ban Tiêu chuẩn Đo lường Chất lượng Quốc gia thực hiện. Thông tư số 16/2026/TT-BKHCN ngày 09/4/2026 quy định chi tiết việc ký kết, thực hiện các hiệp định, thỏa thuận thừa nhận lẫn nhau, thừa nhận đơn phương kết quả đánh giá sự phù hợp đã được ban hành, vì vậy, không còn áp dụng Thông tư số 28/2014/TT-BTTTT</w:t>
            </w:r>
          </w:p>
        </w:tc>
        <w:tc>
          <w:tcPr>
            <w:tcW w:w="140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00000036">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2026 </w:t>
            </w:r>
          </w:p>
        </w:tc>
        <w:tc>
          <w:tcPr>
            <w:tcW w:w="1292"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00000037">
            <w:pPr>
              <w:ind w:firstLine="284"/>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Tiêu chí 2</w:t>
            </w:r>
            <w:r>
              <w:rPr>
                <w:rFonts w:hint="default" w:ascii="Times New Roman" w:hAnsi="Times New Roman" w:cs="Times New Roman"/>
                <w:color w:val="auto"/>
                <w:sz w:val="24"/>
                <w:szCs w:val="24"/>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4BAB404B">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Cần làm rõ, hoàn thiện thêm lý do của nhận định tại cột số 4 “</w:t>
            </w:r>
            <w:r>
              <w:rPr>
                <w:rFonts w:hint="default" w:ascii="Times New Roman" w:hAnsi="Times New Roman" w:cs="Times New Roman"/>
                <w:i/>
                <w:iCs/>
                <w:color w:val="auto"/>
                <w:sz w:val="24"/>
                <w:szCs w:val="24"/>
              </w:rPr>
              <w:t>Sau khi hợp nhất, sáp nhập tinh gọn bộ máy tổ chức, Bộ TTTT đã sáp nhập với Bộ KHCN thành Bộ KHCN và không còn Vụ khoa học và công nghệ</w:t>
            </w:r>
            <w:r>
              <w:rPr>
                <w:rFonts w:hint="default" w:ascii="Times New Roman" w:hAnsi="Times New Roman" w:cs="Times New Roman"/>
                <w:color w:val="auto"/>
                <w:sz w:val="24"/>
                <w:szCs w:val="24"/>
              </w:rPr>
              <w:t>” dẫn đến việc đề xuất bãi bỏ toàn bộ Thông tư 28/2014/TT-BTTTT.</w:t>
            </w:r>
          </w:p>
          <w:p w14:paraId="00000038">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 Tại thời điểm hiện nay, căn cứ rà soát là Nghị định số 55/2025/NĐ-CP ngày 02/3/2025 của Chính phủ quy định chức năng, nhiệm vụ, quyền hạn và cơ cấu tổ chức của Bộ Khoa học và Công nghệ </w:t>
            </w:r>
            <w:r>
              <w:rPr>
                <w:rFonts w:hint="default" w:ascii="Times New Roman" w:hAnsi="Times New Roman" w:cs="Times New Roman"/>
                <w:b/>
                <w:bCs/>
                <w:i/>
                <w:iCs/>
                <w:color w:val="auto"/>
                <w:sz w:val="24"/>
                <w:szCs w:val="24"/>
              </w:rPr>
              <w:t>đã hết hiệu lực</w:t>
            </w:r>
            <w:r>
              <w:rPr>
                <w:rFonts w:hint="default" w:ascii="Times New Roman" w:hAnsi="Times New Roman" w:cs="Times New Roman"/>
                <w:color w:val="auto"/>
                <w:sz w:val="24"/>
                <w:szCs w:val="24"/>
              </w:rPr>
              <w:t>, được thay thế bởi Nghị định số 225/2026/NĐ-CP ngày 24/6/2026 của Chính phủ quy định chức năng, nhiệm vụ, quyền hạn và cơ cấu tổ chức của Bộ Khoa học và Công nghệ. Đề nghị Bộ KHCN rà soát Thông tư 28/2014/TT-BTTTT với Nghị định số 225/2026/NĐ-CP.   </w:t>
            </w:r>
          </w:p>
        </w:tc>
      </w:tr>
      <w:tr w14:paraId="38CAE81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14575" w:type="dxa"/>
            <w:gridSpan w:val="7"/>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2359127A">
            <w:pPr>
              <w:ind w:right="130" w:firstLine="284"/>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III. LĨNH VỰC TIÊU CHUẨN ĐO LƯỜNG CHẤT LƯỢNG</w:t>
            </w:r>
          </w:p>
        </w:tc>
      </w:tr>
      <w:tr w14:paraId="1D877E5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12DF601">
            <w:pPr>
              <w:numPr>
                <w:ilvl w:val="0"/>
                <w:numId w:val="3"/>
              </w:numPr>
              <w:pBdr>
                <w:top w:val="none" w:color="auto" w:sz="0" w:space="0"/>
                <w:left w:val="none" w:color="auto" w:sz="0" w:space="0"/>
                <w:bottom w:val="none" w:color="auto" w:sz="0" w:space="0"/>
                <w:right w:val="none" w:color="auto" w:sz="0" w:space="0"/>
                <w:between w:val="none" w:color="auto" w:sz="0" w:space="0"/>
              </w:pBdr>
              <w:ind w:left="-145"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5B433F2E">
            <w:pPr>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Quyết định  166/2004/QĐ-TTg  ngày 21/9/2004 của Thủ tướng Chính phủ quy chế phê duyệt chuẩn đo lường quốc gia</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E8F5AEC">
            <w:pPr>
              <w:tabs>
                <w:tab w:val="right" w:pos="8640"/>
              </w:tabs>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Luật Đo lường;</w:t>
            </w:r>
          </w:p>
          <w:p w14:paraId="3DDBB81B">
            <w:pPr>
              <w:tabs>
                <w:tab w:val="right" w:pos="8640"/>
              </w:tabs>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14/2013/TT-BKHCN</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774C1871">
            <w:pPr>
              <w:tabs>
                <w:tab w:val="right" w:pos="8640"/>
              </w:tabs>
              <w:ind w:left="138" w:leftChars="0" w:right="130" w:firstLine="0" w:firstLineChars="0"/>
              <w:jc w:val="both"/>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Quyết định số 166/2004/QĐ-TTg được ban hành theo Pháp lệnh Đo lường năm 1999 và quy định Thủ tướng Chính phủ phê duyệt chuẩn đo lường quốc gia; Bộ trưởng Bộ Khoa học và Công nghệ tổ chức đánh giá, thẩm định và trình Thủ tướng Chính phủ (khoản 2 Điều 2, Điều 3, Điều 6, Điều 8, Điều 9 và mẫu Đơn kèm theo Quy chế).</w:t>
            </w:r>
          </w:p>
          <w:p w14:paraId="3D528E87">
            <w:pPr>
              <w:tabs>
                <w:tab w:val="right" w:pos="8640"/>
              </w:tabs>
              <w:ind w:left="138" w:leftChars="0" w:right="130" w:firstLine="0" w:firstLineChars="0"/>
              <w:jc w:val="both"/>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Khoản 6 Điều 12 Luật Đo lường số 04/2011/QH13 đã giao Bộ trưởng Bộ Khoa học và Công nghệ phê duyệt chuẩn quốc gia, chỉ định tổ chức giữ chuẩn quốc gia và quy định chi tiết việc duy trì, bảo quản, sử dụng, hiệu chuẩn hoặc so sánh chuẩn quốc gia. Khoản 3, khoản 4 Điều 12 và Điều 13 của Luật đồng thời xác lập cơ chế chuẩn quốc gia được duy trì, bảo quản, sử dụng tại tổ chức được chỉ định giữ chuẩn quốc gia, khác với cơ chế Tổng cục Tiêu chuẩn Đo lường Chất lượng là cơ quan thiết lập, duy trì, bảo quản và khai thác chuẩn đo lường quốc gia tại Điều 4 của Quy chế.</w:t>
            </w:r>
          </w:p>
          <w:p w14:paraId="014094D6">
            <w:pPr>
              <w:tabs>
                <w:tab w:val="right" w:pos="8640"/>
              </w:tabs>
              <w:ind w:left="138" w:leftChars="0" w:right="130" w:firstLine="0" w:firstLineChars="0"/>
              <w:jc w:val="both"/>
              <w:rPr>
                <w:rFonts w:hint="default" w:ascii="Times New Roman" w:hAnsi="Times New Roman" w:cs="Times New Roman"/>
                <w:color w:val="auto"/>
                <w:sz w:val="24"/>
                <w:szCs w:val="24"/>
              </w:rPr>
            </w:pPr>
            <w:r>
              <w:rPr>
                <w:rFonts w:hint="default" w:ascii="Times New Roman" w:hAnsi="Times New Roman" w:cs="Times New Roman"/>
                <w:b w:val="0"/>
                <w:bCs w:val="0"/>
                <w:color w:val="auto"/>
                <w:sz w:val="24"/>
                <w:szCs w:val="24"/>
              </w:rPr>
              <w:t>Do các quy định về thẩm quyền phê duyệt, chủ thể giữ chuẩn, hồ sơ, trình tự, thủ tục và hội đồng thẩm định là những nội dung cốt lõi, xuyên suốt Quy chế và không còn phù hợp với Luật Đo lường, cần bãi bỏ toàn bộ Quyết định. Việc bãi bỏ không tạo khoảng trống pháp lý vì khoản 6 Điều 12 Luật Đo lường đã giao Bộ trưởng Bộ Khoa học và Công nghệ quy định chi tiết; các nội dung này hiện được điều chỉnh tại Thông tư số 14/2013/TT-BKHCN, được sửa đổi, bổ sung bởi Thông tư số 07/2024/TT-BKHCN.</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140CAE3">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2DB421A9">
            <w:pPr>
              <w:jc w:val="center"/>
              <w:rPr>
                <w:rFonts w:hint="default" w:ascii="Times New Roman" w:hAnsi="Times New Roman" w:cs="Times New Roman"/>
                <w:color w:val="auto"/>
                <w:sz w:val="24"/>
                <w:szCs w:val="24"/>
                <w:lang w:val="en-US"/>
              </w:rPr>
            </w:pPr>
            <w:r>
              <w:rPr>
                <w:rFonts w:hint="default" w:ascii="Times New Roman" w:hAnsi="Times New Roman" w:cs="Times New Roman"/>
                <w:b w:val="0"/>
                <w:bCs/>
                <w:color w:val="auto"/>
                <w:sz w:val="26"/>
                <w:szCs w:val="26"/>
              </w:rPr>
              <w:t>Tiêu chí 2</w:t>
            </w:r>
            <w:r>
              <w:rPr>
                <w:rFonts w:hint="default" w:ascii="Times New Roman" w:hAnsi="Times New Roman" w:cs="Times New Roman"/>
                <w:b w:val="0"/>
                <w:bCs/>
                <w:color w:val="auto"/>
                <w:sz w:val="26"/>
                <w:szCs w:val="26"/>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4371A902">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Cần làm rõ,  phân tích thêm lý do Quyết định số 166/2004/QĐ-TTg không phù hợp với quy định nào của Luật Đo lường (nêu cụ thể điều, khoản, điểm).</w:t>
            </w:r>
          </w:p>
          <w:p w14:paraId="50F083E8">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không đưa Thông tư số 14/2013/TT-BKHCN vào căn cứ rà soát văn bản, bởi theo quy định tại điểm a khoản 1 Điều 37 Nghị định số 79/2025/NĐ-CP thì văn b</w:t>
            </w:r>
            <w:r>
              <w:rPr>
                <w:rFonts w:hint="default" w:ascii="Times New Roman" w:hAnsi="Times New Roman" w:cs="Times New Roman"/>
                <w:color w:val="auto"/>
                <w:sz w:val="24"/>
                <w:szCs w:val="24"/>
                <w:lang w:val="vi-VN"/>
              </w:rPr>
              <w:t>ản l</w:t>
            </w:r>
            <w:r>
              <w:rPr>
                <w:rFonts w:hint="default" w:ascii="Times New Roman" w:hAnsi="Times New Roman" w:cs="Times New Roman"/>
                <w:color w:val="auto"/>
                <w:sz w:val="24"/>
                <w:szCs w:val="24"/>
                <w:lang w:val="en-US"/>
              </w:rPr>
              <w:t>à căn c</w:t>
            </w:r>
            <w:r>
              <w:rPr>
                <w:rFonts w:hint="default" w:ascii="Times New Roman" w:hAnsi="Times New Roman" w:cs="Times New Roman"/>
                <w:color w:val="auto"/>
                <w:sz w:val="24"/>
                <w:szCs w:val="24"/>
                <w:lang w:val="vi-VN"/>
              </w:rPr>
              <w:t>ứ để r</w:t>
            </w:r>
            <w:r>
              <w:rPr>
                <w:rFonts w:hint="default" w:ascii="Times New Roman" w:hAnsi="Times New Roman" w:cs="Times New Roman"/>
                <w:color w:val="auto"/>
                <w:sz w:val="24"/>
                <w:szCs w:val="24"/>
                <w:lang w:val="en-US"/>
              </w:rPr>
              <w:t>à soát là văn b</w:t>
            </w:r>
            <w:r>
              <w:rPr>
                <w:rFonts w:hint="default" w:ascii="Times New Roman" w:hAnsi="Times New Roman" w:cs="Times New Roman"/>
                <w:color w:val="auto"/>
                <w:sz w:val="24"/>
                <w:szCs w:val="24"/>
                <w:lang w:val="vi-VN"/>
              </w:rPr>
              <w:t>ản được ban h</w:t>
            </w:r>
            <w:r>
              <w:rPr>
                <w:rFonts w:hint="default" w:ascii="Times New Roman" w:hAnsi="Times New Roman" w:cs="Times New Roman"/>
                <w:color w:val="auto"/>
                <w:sz w:val="24"/>
                <w:szCs w:val="24"/>
                <w:lang w:val="en-US"/>
              </w:rPr>
              <w:t>ành sau, có quy đ</w:t>
            </w:r>
            <w:r>
              <w:rPr>
                <w:rFonts w:hint="default" w:ascii="Times New Roman" w:hAnsi="Times New Roman" w:cs="Times New Roman"/>
                <w:color w:val="auto"/>
                <w:sz w:val="24"/>
                <w:szCs w:val="24"/>
                <w:lang w:val="vi-VN"/>
              </w:rPr>
              <w:t>ịnh li</w:t>
            </w:r>
            <w:r>
              <w:rPr>
                <w:rFonts w:hint="default" w:ascii="Times New Roman" w:hAnsi="Times New Roman" w:cs="Times New Roman"/>
                <w:color w:val="auto"/>
                <w:sz w:val="24"/>
                <w:szCs w:val="24"/>
                <w:lang w:val="en-US"/>
              </w:rPr>
              <w:t>ên quan đ</w:t>
            </w:r>
            <w:r>
              <w:rPr>
                <w:rFonts w:hint="default" w:ascii="Times New Roman" w:hAnsi="Times New Roman" w:cs="Times New Roman"/>
                <w:color w:val="auto"/>
                <w:sz w:val="24"/>
                <w:szCs w:val="24"/>
                <w:lang w:val="vi-VN"/>
              </w:rPr>
              <w:t>ến văn bản được r</w:t>
            </w:r>
            <w:r>
              <w:rPr>
                <w:rFonts w:hint="default" w:ascii="Times New Roman" w:hAnsi="Times New Roman" w:cs="Times New Roman"/>
                <w:color w:val="auto"/>
                <w:sz w:val="24"/>
                <w:szCs w:val="24"/>
                <w:lang w:val="en-US"/>
              </w:rPr>
              <w:t>à soát, bao g</w:t>
            </w:r>
            <w:r>
              <w:rPr>
                <w:rFonts w:hint="default" w:ascii="Times New Roman" w:hAnsi="Times New Roman" w:cs="Times New Roman"/>
                <w:color w:val="auto"/>
                <w:sz w:val="24"/>
                <w:szCs w:val="24"/>
                <w:lang w:val="vi-VN"/>
              </w:rPr>
              <w:t>ồm:</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Văn b</w:t>
            </w:r>
            <w:r>
              <w:rPr>
                <w:rFonts w:hint="default" w:ascii="Times New Roman" w:hAnsi="Times New Roman" w:cs="Times New Roman"/>
                <w:color w:val="auto"/>
                <w:sz w:val="24"/>
                <w:szCs w:val="24"/>
                <w:lang w:val="vi-VN"/>
              </w:rPr>
              <w:t>ản quy phạm ph</w:t>
            </w:r>
            <w:r>
              <w:rPr>
                <w:rFonts w:hint="default" w:ascii="Times New Roman" w:hAnsi="Times New Roman" w:cs="Times New Roman"/>
                <w:color w:val="auto"/>
                <w:sz w:val="24"/>
                <w:szCs w:val="24"/>
                <w:lang w:val="en-US"/>
              </w:rPr>
              <w:t>áp luật</w:t>
            </w:r>
            <w:r>
              <w:rPr>
                <w:rFonts w:hint="default" w:ascii="Times New Roman" w:hAnsi="Times New Roman" w:cs="Times New Roman"/>
                <w:color w:val="auto"/>
                <w:sz w:val="24"/>
                <w:szCs w:val="24"/>
                <w:lang w:val="vi-VN"/>
              </w:rPr>
              <w:t> c</w:t>
            </w:r>
            <w:r>
              <w:rPr>
                <w:rFonts w:hint="default" w:ascii="Times New Roman" w:hAnsi="Times New Roman" w:cs="Times New Roman"/>
                <w:color w:val="auto"/>
                <w:sz w:val="24"/>
                <w:szCs w:val="24"/>
                <w:lang w:val="en-US"/>
              </w:rPr>
              <w:t>ó hi</w:t>
            </w:r>
            <w:r>
              <w:rPr>
                <w:rFonts w:hint="default" w:ascii="Times New Roman" w:hAnsi="Times New Roman" w:cs="Times New Roman"/>
                <w:color w:val="auto"/>
                <w:sz w:val="24"/>
                <w:szCs w:val="24"/>
                <w:lang w:val="vi-VN"/>
              </w:rPr>
              <w:t>ệu lực ph</w:t>
            </w:r>
            <w:r>
              <w:rPr>
                <w:rFonts w:hint="default" w:ascii="Times New Roman" w:hAnsi="Times New Roman" w:cs="Times New Roman"/>
                <w:color w:val="auto"/>
                <w:sz w:val="24"/>
                <w:szCs w:val="24"/>
                <w:lang w:val="en-US"/>
              </w:rPr>
              <w:t>áp lý cao hơn văn b</w:t>
            </w:r>
            <w:r>
              <w:rPr>
                <w:rFonts w:hint="default" w:ascii="Times New Roman" w:hAnsi="Times New Roman" w:cs="Times New Roman"/>
                <w:color w:val="auto"/>
                <w:sz w:val="24"/>
                <w:szCs w:val="24"/>
                <w:lang w:val="vi-VN"/>
              </w:rPr>
              <w:t>ản được r</w:t>
            </w:r>
            <w:r>
              <w:rPr>
                <w:rFonts w:hint="default" w:ascii="Times New Roman" w:hAnsi="Times New Roman" w:cs="Times New Roman"/>
                <w:color w:val="auto"/>
                <w:sz w:val="24"/>
                <w:szCs w:val="24"/>
                <w:lang w:val="en-US"/>
              </w:rPr>
              <w:t>à soát; văn b</w:t>
            </w:r>
            <w:r>
              <w:rPr>
                <w:rFonts w:hint="default" w:ascii="Times New Roman" w:hAnsi="Times New Roman" w:cs="Times New Roman"/>
                <w:color w:val="auto"/>
                <w:sz w:val="24"/>
                <w:szCs w:val="24"/>
                <w:lang w:val="vi-VN"/>
              </w:rPr>
              <w:t>ản quy phạm ph</w:t>
            </w:r>
            <w:r>
              <w:rPr>
                <w:rFonts w:hint="default" w:ascii="Times New Roman" w:hAnsi="Times New Roman" w:cs="Times New Roman"/>
                <w:color w:val="auto"/>
                <w:sz w:val="24"/>
                <w:szCs w:val="24"/>
                <w:lang w:val="en-US"/>
              </w:rPr>
              <w:t>áp luật</w:t>
            </w:r>
            <w:r>
              <w:rPr>
                <w:rFonts w:hint="default" w:ascii="Times New Roman" w:hAnsi="Times New Roman" w:cs="Times New Roman"/>
                <w:color w:val="auto"/>
                <w:sz w:val="24"/>
                <w:szCs w:val="24"/>
                <w:lang w:val="vi-VN"/>
              </w:rPr>
              <w:t> của ch</w:t>
            </w:r>
            <w:r>
              <w:rPr>
                <w:rFonts w:hint="default" w:ascii="Times New Roman" w:hAnsi="Times New Roman" w:cs="Times New Roman"/>
                <w:color w:val="auto"/>
                <w:sz w:val="24"/>
                <w:szCs w:val="24"/>
                <w:lang w:val="en-US"/>
              </w:rPr>
              <w:t>ính cơ quan, ngư</w:t>
            </w:r>
            <w:r>
              <w:rPr>
                <w:rFonts w:hint="default" w:ascii="Times New Roman" w:hAnsi="Times New Roman" w:cs="Times New Roman"/>
                <w:color w:val="auto"/>
                <w:sz w:val="24"/>
                <w:szCs w:val="24"/>
                <w:lang w:val="vi-VN"/>
              </w:rPr>
              <w:t>ời c</w:t>
            </w:r>
            <w:r>
              <w:rPr>
                <w:rFonts w:hint="default" w:ascii="Times New Roman" w:hAnsi="Times New Roman" w:cs="Times New Roman"/>
                <w:color w:val="auto"/>
                <w:sz w:val="24"/>
                <w:szCs w:val="24"/>
                <w:lang w:val="en-US"/>
              </w:rPr>
              <w:t>ó th</w:t>
            </w:r>
            <w:r>
              <w:rPr>
                <w:rFonts w:hint="default" w:ascii="Times New Roman" w:hAnsi="Times New Roman" w:cs="Times New Roman"/>
                <w:color w:val="auto"/>
                <w:sz w:val="24"/>
                <w:szCs w:val="24"/>
                <w:lang w:val="vi-VN"/>
              </w:rPr>
              <w:t>ẩm quyền ban h</w:t>
            </w:r>
            <w:r>
              <w:rPr>
                <w:rFonts w:hint="default" w:ascii="Times New Roman" w:hAnsi="Times New Roman" w:cs="Times New Roman"/>
                <w:color w:val="auto"/>
                <w:sz w:val="24"/>
                <w:szCs w:val="24"/>
                <w:lang w:val="en-US"/>
              </w:rPr>
              <w:t>ành văn b</w:t>
            </w:r>
            <w:r>
              <w:rPr>
                <w:rFonts w:hint="default" w:ascii="Times New Roman" w:hAnsi="Times New Roman" w:cs="Times New Roman"/>
                <w:color w:val="auto"/>
                <w:sz w:val="24"/>
                <w:szCs w:val="24"/>
                <w:lang w:val="vi-VN"/>
              </w:rPr>
              <w:t>ản được r</w:t>
            </w:r>
            <w:r>
              <w:rPr>
                <w:rFonts w:hint="default" w:ascii="Times New Roman" w:hAnsi="Times New Roman" w:cs="Times New Roman"/>
                <w:color w:val="auto"/>
                <w:sz w:val="24"/>
                <w:szCs w:val="24"/>
                <w:lang w:val="en-US"/>
              </w:rPr>
              <w:t xml:space="preserve">à soát. Trong khi đó, </w:t>
            </w:r>
            <w:r>
              <w:rPr>
                <w:rFonts w:hint="default" w:ascii="Times New Roman" w:hAnsi="Times New Roman" w:cs="Times New Roman"/>
                <w:color w:val="auto"/>
                <w:sz w:val="24"/>
                <w:szCs w:val="24"/>
              </w:rPr>
              <w:t>Thông tư số 14/2013/TT-BKHCN là văn bản có hiệu lực pháp lý thấp hơn Quyết định  166/2004/QĐ-TTg nên không phải là căn cứ rà soát.</w:t>
            </w:r>
          </w:p>
          <w:p w14:paraId="06CE5A23">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bổ sung rõ “Tiêu chí rà soát văn bản” tại cột số 6.</w:t>
            </w:r>
          </w:p>
          <w:p w14:paraId="727C16E7">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Chỉnh lý tên căn cứ rà soát cho đẩy đủ, chính xác.</w:t>
            </w:r>
          </w:p>
        </w:tc>
      </w:tr>
      <w:tr w14:paraId="1C8B7EE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72068660">
            <w:pPr>
              <w:numPr>
                <w:ilvl w:val="0"/>
                <w:numId w:val="3"/>
              </w:numPr>
              <w:pBdr>
                <w:top w:val="none" w:color="auto" w:sz="0" w:space="0"/>
                <w:left w:val="none" w:color="auto" w:sz="0" w:space="0"/>
                <w:bottom w:val="none" w:color="auto" w:sz="0" w:space="0"/>
                <w:right w:val="none" w:color="auto" w:sz="0" w:space="0"/>
                <w:between w:val="none" w:color="auto" w:sz="0" w:space="0"/>
              </w:pBdr>
              <w:ind w:left="139" w:leftChars="0" w:firstLine="284" w:firstLineChars="0"/>
              <w:jc w:val="left"/>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7F5E089B">
            <w:pPr>
              <w:jc w:val="left"/>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09/2009/TT-BKHCN ngày 08/4/2009 của Bộ trưởng Bộ Khoa học và Công nghệ hướng dẫn về yêu cầu, trình tự, thủ tục chỉ định tổ chức đánh giá sự phù hợp</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557D2CB3">
            <w:pPr>
              <w:tabs>
                <w:tab w:val="right" w:pos="8640"/>
              </w:tabs>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Nghị định số 37/2026/NĐ-CP ngày 23</w:t>
            </w:r>
            <w:r>
              <w:rPr>
                <w:rFonts w:hint="default" w:ascii="Times New Roman" w:hAnsi="Times New Roman" w:cs="Times New Roman"/>
                <w:color w:val="auto"/>
                <w:sz w:val="24"/>
                <w:szCs w:val="24"/>
                <w:lang w:val="en-US"/>
              </w:rPr>
              <w:t>/01/</w:t>
            </w:r>
            <w:r>
              <w:rPr>
                <w:rFonts w:hint="default" w:ascii="Times New Roman" w:hAnsi="Times New Roman" w:cs="Times New Roman"/>
                <w:color w:val="auto"/>
                <w:sz w:val="24"/>
                <w:szCs w:val="24"/>
              </w:rPr>
              <w:t>2026</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CA60728">
            <w:pPr>
              <w:tabs>
                <w:tab w:val="right" w:pos="8640"/>
              </w:tabs>
              <w:ind w:left="140" w:leftChars="0" w:right="130" w:firstLine="0" w:firstLineChars="0"/>
              <w:jc w:val="both"/>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lang w:val="en-US"/>
              </w:rPr>
              <w:t>Việc đ</w:t>
            </w:r>
            <w:r>
              <w:rPr>
                <w:rFonts w:hint="default" w:ascii="Times New Roman" w:hAnsi="Times New Roman" w:cs="Times New Roman"/>
                <w:b w:val="0"/>
                <w:bCs w:val="0"/>
                <w:color w:val="auto"/>
                <w:sz w:val="24"/>
                <w:szCs w:val="24"/>
              </w:rPr>
              <w:t>ánh giá sự phù hợp thực</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hiện theo Nghị định số</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37/2026/NĐ-CP; trước đây</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thực hiện theo Nghị định số</w:t>
            </w:r>
          </w:p>
          <w:p w14:paraId="4CD14611">
            <w:pPr>
              <w:tabs>
                <w:tab w:val="right" w:pos="8640"/>
              </w:tabs>
              <w:ind w:left="140" w:leftChars="0" w:right="130" w:firstLine="0" w:firstLineChars="0"/>
              <w:jc w:val="both"/>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74/2018/NĐ-CP. Do đó, cần rà</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soát để bãi bỏ văn bản không</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còn phù hợp</w:t>
            </w:r>
          </w:p>
          <w:p w14:paraId="3D20A06C">
            <w:pPr>
              <w:tabs>
                <w:tab w:val="right" w:pos="8640"/>
              </w:tabs>
              <w:ind w:left="140" w:leftChars="0" w:right="130" w:firstLine="0" w:firstLineChars="0"/>
              <w:jc w:val="both"/>
              <w:rPr>
                <w:rFonts w:hint="default" w:ascii="Times New Roman" w:hAnsi="Times New Roman" w:cs="Times New Roman"/>
                <w:color w:val="auto"/>
                <w:sz w:val="24"/>
                <w:szCs w:val="24"/>
                <w:lang w:val="en-US"/>
              </w:rPr>
            </w:pPr>
            <w:r>
              <w:rPr>
                <w:rFonts w:hint="default" w:ascii="Times New Roman" w:hAnsi="Times New Roman" w:cs="Times New Roman"/>
                <w:b w:val="0"/>
                <w:bCs w:val="0"/>
                <w:color w:val="auto"/>
                <w:sz w:val="24"/>
                <w:szCs w:val="24"/>
              </w:rPr>
              <w:t>Hiện nay, việc quy định</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chỉ định tại Nghị định số</w:t>
            </w:r>
            <w:r>
              <w:rPr>
                <w:rFonts w:hint="default" w:ascii="Times New Roman" w:hAnsi="Times New Roman" w:cs="Times New Roman"/>
                <w:b w:val="0"/>
                <w:bCs w:val="0"/>
                <w:color w:val="auto"/>
                <w:sz w:val="24"/>
                <w:szCs w:val="24"/>
                <w:lang w:val="en-US"/>
              </w:rPr>
              <w:t xml:space="preserve"> </w:t>
            </w:r>
            <w:r>
              <w:rPr>
                <w:rFonts w:hint="default" w:ascii="Times New Roman" w:hAnsi="Times New Roman" w:cs="Times New Roman"/>
                <w:b w:val="0"/>
                <w:bCs w:val="0"/>
                <w:color w:val="auto"/>
                <w:sz w:val="24"/>
                <w:szCs w:val="24"/>
              </w:rPr>
              <w:t>37/2026/NĐ-CP ngày 23</w:t>
            </w:r>
            <w:r>
              <w:rPr>
                <w:rFonts w:hint="default" w:ascii="Times New Roman" w:hAnsi="Times New Roman" w:cs="Times New Roman"/>
                <w:b w:val="0"/>
                <w:bCs w:val="0"/>
                <w:color w:val="auto"/>
                <w:sz w:val="24"/>
                <w:szCs w:val="24"/>
                <w:lang w:val="en-US"/>
              </w:rPr>
              <w:t>/01/</w:t>
            </w:r>
            <w:r>
              <w:rPr>
                <w:rFonts w:hint="default" w:ascii="Times New Roman" w:hAnsi="Times New Roman" w:cs="Times New Roman"/>
                <w:b w:val="0"/>
                <w:bCs w:val="0"/>
                <w:color w:val="auto"/>
                <w:sz w:val="24"/>
                <w:szCs w:val="24"/>
              </w:rPr>
              <w:t>2026</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3BB77DBB">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095F45A1">
            <w:pPr>
              <w:ind w:firstLine="284"/>
              <w:jc w:val="center"/>
              <w:rPr>
                <w:rFonts w:hint="default" w:ascii="Times New Roman" w:hAnsi="Times New Roman" w:cs="Times New Roman"/>
                <w:color w:val="auto"/>
                <w:sz w:val="24"/>
                <w:szCs w:val="24"/>
              </w:rPr>
            </w:pPr>
            <w:r>
              <w:rPr>
                <w:rFonts w:hint="default" w:ascii="Times New Roman" w:hAnsi="Times New Roman" w:cs="Times New Roman"/>
                <w:b w:val="0"/>
                <w:bCs/>
                <w:color w:val="auto"/>
                <w:sz w:val="26"/>
                <w:szCs w:val="26"/>
              </w:rPr>
              <w:t>Tiêu chí 2</w:t>
            </w:r>
            <w:r>
              <w:rPr>
                <w:rFonts w:hint="default" w:ascii="Times New Roman" w:hAnsi="Times New Roman" w:cs="Times New Roman"/>
                <w:b w:val="0"/>
                <w:bCs/>
                <w:color w:val="auto"/>
                <w:sz w:val="26"/>
                <w:szCs w:val="26"/>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2798EAFF">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bổ sung rõ “Tiêu chí rà soát văn bản” tại cột số 6.</w:t>
            </w:r>
          </w:p>
          <w:p w14:paraId="71002A2C">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phân tích rõ việc thực hiện chỉ định tổ chức đánh giá sự phù hợp tại Thông tư số 09/2009/TT-BKHCN không phù hợp với quy định cụ thể nào về vấn đề này tại Nghị định số 37/2026/NĐ-CP hiện hành.</w:t>
            </w:r>
          </w:p>
          <w:p w14:paraId="26FEEB09">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Chỉnh lý tên căn cứ rà soát cho đẩy đủ, chính xác.</w:t>
            </w:r>
          </w:p>
        </w:tc>
      </w:tr>
      <w:tr w14:paraId="77EF7BC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2E912EF4">
            <w:pPr>
              <w:numPr>
                <w:ilvl w:val="0"/>
                <w:numId w:val="3"/>
              </w:numPr>
              <w:pBdr>
                <w:top w:val="none" w:color="auto" w:sz="0" w:space="0"/>
                <w:left w:val="none" w:color="auto" w:sz="0" w:space="0"/>
                <w:bottom w:val="none" w:color="auto" w:sz="0" w:space="0"/>
                <w:right w:val="none" w:color="auto" w:sz="0" w:space="0"/>
                <w:between w:val="none" w:color="auto" w:sz="0" w:space="0"/>
              </w:pBdr>
              <w:ind w:left="281"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12C30CDA">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23/2009/TT-BKHCN ngày 31/12/2009 của Bộ KH&amp;CN quy định việc sử dụng thống nhất dấu chất lượng đối với mũ bảo hiểm cho người đi mô tô, xe máy</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4714647E">
            <w:pPr>
              <w:tabs>
                <w:tab w:val="right" w:pos="8640"/>
              </w:tabs>
              <w:ind w:right="132"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Luật Tiêu chuẩn và quy chuẩn kỹ thuật số 68/2006/QH11 được sửa đổi, bổ sung bởi Luật số 35/2018/QH14 và Luật số 70/2025/QH15;</w:t>
            </w:r>
          </w:p>
          <w:p w14:paraId="746005CB">
            <w:pPr>
              <w:tabs>
                <w:tab w:val="right" w:pos="8640"/>
              </w:tabs>
              <w:ind w:right="132"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Luật Chất lượng sản phẩm, hàng hóa số 05/2007/QH12 được sửa đổi, bổ sung bởi Luật số 78/2025/QH15;</w:t>
            </w:r>
          </w:p>
          <w:p w14:paraId="5FD0C23D">
            <w:pPr>
              <w:tabs>
                <w:tab w:val="right" w:pos="8640"/>
              </w:tabs>
              <w:ind w:right="132"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Nghị định số 22/2026/NĐ-CP ngày 16 tháng 01 năm 2026 Nghị định số 37/2026/NĐ-CP ngày 23 tháng 01 năm 2026 </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66B87D18">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Không còn đối tượng áp dụng do từ sau ngày 01/7/2010 đến nay, trên thị trường không còn tồn tại các loại mũ bảo hiểm mang dấu phù hợp tiêu chuẩn (dấu CS) và mũ bảo hiểm dán tem “đã kiểm tra”; hiện nay mũ bảo hiểm cho người đi mô tô, xe máy phải gắn dấu hợp quy (CR) trước khi lưu thông.</w:t>
            </w:r>
          </w:p>
          <w:p w14:paraId="73D3AB2E">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Việc quản lý sản phẩm, hàng hóa được chuyển sang phương thức quản lý rủi ro theo Nghị định số 37/2026/NĐ-CP ngày 23 tháng 01 năm 2026</w:t>
            </w:r>
          </w:p>
          <w:p w14:paraId="749FBC75">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Việc thực hiện đánh giá sự phù hợp được thực hiện theo Thông tư 14/2026/TT-BKHCN quy định về công bố hợp chuẩn, công bố hợp quy và phương thức đánh giá sự phù hợp với tiêu chuẩn, quy chuẩn kỹ thuật</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4EA3E0E1">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7FF6E56F">
            <w:pPr>
              <w:ind w:firstLine="284"/>
              <w:jc w:val="center"/>
              <w:rPr>
                <w:rFonts w:hint="default" w:ascii="Times New Roman" w:hAnsi="Times New Roman" w:cs="Times New Roman"/>
                <w:color w:val="auto"/>
                <w:sz w:val="24"/>
                <w:szCs w:val="24"/>
              </w:rPr>
            </w:pPr>
            <w:r>
              <w:rPr>
                <w:rFonts w:hint="default" w:ascii="Times New Roman" w:hAnsi="Times New Roman" w:cs="Times New Roman"/>
                <w:b w:val="0"/>
                <w:bCs/>
                <w:color w:val="auto"/>
                <w:sz w:val="26"/>
                <w:szCs w:val="26"/>
              </w:rPr>
              <w:t>Tiêu chí 2</w:t>
            </w:r>
            <w:r>
              <w:rPr>
                <w:rFonts w:hint="default" w:ascii="Times New Roman" w:hAnsi="Times New Roman" w:cs="Times New Roman"/>
                <w:b w:val="0"/>
                <w:bCs/>
                <w:color w:val="auto"/>
                <w:sz w:val="26"/>
                <w:szCs w:val="26"/>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7FEE7C04">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phân tích cụ thể hơn nhận định “hiện nay mũ bảo hiểm cho người đi mô tô, xe máy phải gắn dấu hợp quy (CR) trước khi lưu thông.” Được quy định tại điều, khoản, điểm của văn bản nào? Việc thực hiện quy định này có thay thế cho việc sử dụng dấu chất lượng đối với mũ bảo hiểm cho người đi mô tô, xe máy hay không và quy định cụ thể tại điều, khoản, điểm của văn bản nào?</w:t>
            </w:r>
          </w:p>
          <w:p w14:paraId="7FEDEF09">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Đề nghị bổ sung rõ “Tiêu chí rà soát văn bản” tại cột số 6.</w:t>
            </w:r>
          </w:p>
          <w:p w14:paraId="3DCCE164">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Chỉnh lý tên căn cứ rà soát cho đẩy đủ, chính xác.</w:t>
            </w:r>
          </w:p>
        </w:tc>
      </w:tr>
      <w:tr w14:paraId="5B37D27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41">
            <w:pPr>
              <w:numPr>
                <w:ilvl w:val="0"/>
                <w:numId w:val="3"/>
              </w:numPr>
              <w:pBdr>
                <w:top w:val="none" w:color="auto" w:sz="0" w:space="0"/>
                <w:left w:val="none" w:color="auto" w:sz="0" w:space="0"/>
                <w:bottom w:val="none" w:color="auto" w:sz="0" w:space="0"/>
                <w:right w:val="none" w:color="auto" w:sz="0" w:space="0"/>
                <w:between w:val="none" w:color="auto" w:sz="0" w:space="0"/>
              </w:pBdr>
              <w:ind w:left="281"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42">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13/2019/TT-BTTTT ngày 22/11/2019 quy định hoạt động xây dựng quy chuẩn kỹ thuật quốc gia, tiêu chuẩn quốc gia, tiêu chuẩn cơ sở thuộc lĩnh vực quản lý của Bộ Thông tin và Truyền thông</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43">
            <w:pPr>
              <w:tabs>
                <w:tab w:val="right" w:pos="8640"/>
              </w:tabs>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Nghị định số 55/2025/NĐ-CP</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1ACF073A">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Sửa đổi, bổ sung để phù hợp với phạm vi, chức năng quản lý nhà nước của Bộ KHCN (sau hợp nhất)</w:t>
            </w:r>
          </w:p>
          <w:p w14:paraId="2F2A628F">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Sau khi hợp nhất, sáp nhập tinh gọn bộ máy tổ chức, Bộ TTTT đã sáp nhập với Bộ KHCN thành Bộ KHCN và không còn Vụ Khoa học và công nghệ</w:t>
            </w:r>
          </w:p>
          <w:p w14:paraId="00000046">
            <w:pPr>
              <w:tabs>
                <w:tab w:val="right" w:pos="8640"/>
              </w:tabs>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lang w:val="en-US"/>
              </w:rPr>
              <w:t>C</w:t>
            </w:r>
            <w:r>
              <w:rPr>
                <w:rFonts w:hint="default" w:ascii="Times New Roman" w:hAnsi="Times New Roman" w:cs="Times New Roman"/>
                <w:color w:val="auto"/>
                <w:sz w:val="24"/>
                <w:szCs w:val="24"/>
              </w:rPr>
              <w:t>ác văn bản căn cứ xây dựng Thông tư đã hết hiệu lực kể từ ngày Nghị định 22/2026/NĐ-CP  có hiệu lực thi hành</w:t>
            </w:r>
          </w:p>
          <w:p w14:paraId="00000047">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b w:val="0"/>
                <w:bCs w:val="0"/>
                <w:color w:val="auto"/>
                <w:sz w:val="24"/>
                <w:szCs w:val="24"/>
              </w:rPr>
              <w:t>Việc thực hiện xây dựng tiêu chuẩn, quy chuẩn kỹ thuật thực hiện theo 02 Thông tư: Thông tư số 15/2026/TT-BKHCN ngày 09/4/2026 của Bộ trưởng Bộ Khoa học và Công nghệ quy định chi tiết xây dựng, thẩm định và ban hành quy chuẩn kỹ thuật; Thông tư số 13/2026/TT-BKHCN ngày 09/4/2026 của Bộ trưởng Bộ Khoa học và Công nghệ quy định chi tiết xây dựng và áp dụng tiêu chuẩn.</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48">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00000049">
            <w:pPr>
              <w:ind w:firstLine="284"/>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Tiêu chí 2</w:t>
            </w:r>
            <w:r>
              <w:rPr>
                <w:rFonts w:hint="default" w:ascii="Times New Roman" w:hAnsi="Times New Roman" w:cs="Times New Roman"/>
                <w:color w:val="auto"/>
                <w:sz w:val="24"/>
                <w:szCs w:val="24"/>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13C43988">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 Tại thời điểm hiện nay, căn cứ rà soát là Nghị định số 55/2025/NĐ-CP ngày 02/3/2025 của Chính phủ quy định chức năng, nhiệm vụ, quyền hạn và cơ cấu tổ chức của Bộ Khoa học và Công nghệ </w:t>
            </w:r>
            <w:r>
              <w:rPr>
                <w:rFonts w:hint="default" w:ascii="Times New Roman" w:hAnsi="Times New Roman" w:cs="Times New Roman"/>
                <w:b/>
                <w:bCs/>
                <w:i/>
                <w:iCs/>
                <w:color w:val="auto"/>
                <w:sz w:val="24"/>
                <w:szCs w:val="24"/>
              </w:rPr>
              <w:t>đã hết hiệu lực</w:t>
            </w:r>
            <w:r>
              <w:rPr>
                <w:rFonts w:hint="default" w:ascii="Times New Roman" w:hAnsi="Times New Roman" w:cs="Times New Roman"/>
                <w:color w:val="auto"/>
                <w:sz w:val="24"/>
                <w:szCs w:val="24"/>
              </w:rPr>
              <w:t xml:space="preserve">, được thay thế bởi Nghị định số 225/2026/NĐ-CP ngày 24/6/2026 của Chính phủ quy định chức năng, nhiệm vụ, quyền hạn và cơ cấu tổ chức của Bộ Khoa học và Công nghệ. Đề nghị Bộ KHCN rà soát Thông tư 13/2019/TT-BTTTT với Nghị định số 225/2026/NĐ-CP. </w:t>
            </w:r>
          </w:p>
          <w:p w14:paraId="0000004A">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 - Phụ lục IV này là Danh mục văn bản QPPL đề xuất bãi bỏ toàn bộ văn bản, tuy nhiên nội dung phân tích lại nêu “</w:t>
            </w:r>
            <w:r>
              <w:rPr>
                <w:rFonts w:hint="default" w:ascii="Times New Roman" w:hAnsi="Times New Roman" w:cs="Times New Roman"/>
                <w:b/>
                <w:bCs/>
                <w:i/>
                <w:iCs/>
                <w:color w:val="auto"/>
                <w:sz w:val="24"/>
                <w:szCs w:val="24"/>
              </w:rPr>
              <w:t>Sửa đổi, bổ sung để phù hợp với phạm vi, chức năng quản lý nhà nước của Bộ KHCN</w:t>
            </w:r>
            <w:r>
              <w:rPr>
                <w:rFonts w:hint="default" w:ascii="Times New Roman" w:hAnsi="Times New Roman" w:cs="Times New Roman"/>
                <w:color w:val="auto"/>
                <w:sz w:val="24"/>
                <w:szCs w:val="24"/>
              </w:rPr>
              <w:t>”. Đề nghị rà soát lại cho thống nhất với tiêu chí rà soát.</w:t>
            </w:r>
          </w:p>
        </w:tc>
      </w:tr>
      <w:tr w14:paraId="0792EE7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4C">
            <w:pPr>
              <w:numPr>
                <w:ilvl w:val="0"/>
                <w:numId w:val="3"/>
              </w:numPr>
              <w:pBdr>
                <w:top w:val="none" w:color="auto" w:sz="0" w:space="0"/>
                <w:left w:val="none" w:color="auto" w:sz="0" w:space="0"/>
                <w:bottom w:val="none" w:color="auto" w:sz="0" w:space="0"/>
                <w:right w:val="none" w:color="auto" w:sz="0" w:space="0"/>
                <w:between w:val="none" w:color="auto" w:sz="0" w:space="0"/>
              </w:pBdr>
              <w:ind w:left="281"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47E0DEBF">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07/2022/TT-BKHCN ngày 31/5/2022 của Bộ</w:t>
            </w:r>
          </w:p>
          <w:p w14:paraId="0000004D">
            <w:pPr>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KH&amp;CN quy định định mức kinh tế - kỹ thuật cho nhóm</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dịch vụ sự nghiệp công sử dụng ngân sách nhà nước về tư</w:t>
            </w:r>
            <w:r>
              <w:rPr>
                <w:rFonts w:hint="default" w:ascii="Times New Roman" w:hAnsi="Times New Roman" w:cs="Times New Roman"/>
                <w:color w:val="auto"/>
                <w:sz w:val="24"/>
                <w:szCs w:val="24"/>
                <w:lang w:val="en-US"/>
              </w:rPr>
              <w:t xml:space="preserve"> </w:t>
            </w:r>
            <w:r>
              <w:rPr>
                <w:rFonts w:hint="default" w:ascii="Times New Roman" w:hAnsi="Times New Roman" w:cs="Times New Roman"/>
                <w:color w:val="auto"/>
                <w:sz w:val="24"/>
                <w:szCs w:val="24"/>
              </w:rPr>
              <w:t>vấn xây dựng, áp dụng Hệ thống quản lý chất lượng theo Tiêu chuẩn quốc gia TCVN ISO 9001:2015 trong cơ quan nhà nước.</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76FAEA2A">
            <w:pPr>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Căn cứ Luật Tiêu chuẩn và quy chuẩn kỹ thuật số 68/2006/QH11 được sửa đổi, bổ sung bởi Luật số 35/2018/QH14 và Luật số 70/2025/QH15;</w:t>
            </w:r>
          </w:p>
          <w:p w14:paraId="0000004E">
            <w:pPr>
              <w:ind w:firstLine="284"/>
              <w:jc w:val="both"/>
              <w:rPr>
                <w:rFonts w:hint="default" w:ascii="Times New Roman" w:hAnsi="Times New Roman" w:cs="Times New Roman"/>
                <w:color w:val="auto"/>
                <w:sz w:val="24"/>
                <w:szCs w:val="24"/>
              </w:rPr>
            </w:pP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55056E1F">
            <w:pPr>
              <w:ind w:left="138" w:right="130" w:firstLine="284"/>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Rà soát sự phù hợp của định mức kinh tế - kỹ thuật với cơ chế quản lý, sử dụng ngân sách nhà nước và hệ thống văn bản hiện hành</w:t>
            </w:r>
            <w:r>
              <w:rPr>
                <w:rFonts w:hint="default" w:ascii="Times New Roman" w:hAnsi="Times New Roman" w:cs="Times New Roman"/>
                <w:color w:val="auto"/>
                <w:sz w:val="24"/>
                <w:szCs w:val="24"/>
                <w:lang w:val="en-US"/>
              </w:rPr>
              <w:t>.</w:t>
            </w:r>
          </w:p>
          <w:p w14:paraId="6DB4ABB6">
            <w:pPr>
              <w:ind w:left="138" w:right="130" w:firstLine="284"/>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lang w:val="en-US"/>
              </w:rPr>
              <w:t>Về định định mức kinh tế - kỹ thuật cho nhóm dịch vụ sự nghiệp công sử dụng ngân sách nhà nước về tư vấn xây dựng, áp dụng Hệ thống quản lý chất lượng theo Tiêu chuẩn quốc gia TCVN ISO 9001:2015 trong cơ quan nhà nước đã được thực hiện theo Thông tư số 24/2026/TT-BKHCN ngày 30/5/2026 của Bộ trưởng Bộ Khoa học và Công nghệ quy định lập dự toán, quản lý, sử dụng và quyết toán kinh phí ngân sách nhà nước lĩnh vực khoa học, công nghệ, đổi mới sáng tạo và chuyển đổi số để thi hành Nghị định số 37/2026/NĐ-CP ngày 23 tháng 01 năm 2026 của Chính phủ quy định chi tiết một số điều và biện pháp để tổ chức, hướng dẫn thi hành Luật Chất lượng sản phẩm, hàng hóa</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50">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r>
              <w:rPr>
                <w:rFonts w:hint="default" w:ascii="Times New Roman" w:hAnsi="Times New Roman" w:cs="Times New Roman"/>
                <w:color w:val="auto"/>
                <w:sz w:val="24"/>
                <w:szCs w:val="24"/>
              </w:rPr>
              <w:tab/>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00000051">
            <w:pPr>
              <w:ind w:firstLine="284"/>
              <w:jc w:val="center"/>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Tiêu chí 2</w:t>
            </w:r>
            <w:r>
              <w:rPr>
                <w:rFonts w:hint="default" w:ascii="Times New Roman" w:hAnsi="Times New Roman" w:cs="Times New Roman"/>
                <w:color w:val="auto"/>
                <w:sz w:val="24"/>
                <w:szCs w:val="24"/>
                <w:lang w:val="en-US"/>
              </w:rPr>
              <w:t>.3</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67A419A9">
            <w:pPr>
              <w:ind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Cần làm rõ, hoàn thiện thêm, phân tích cụ thể lý do bãi bỏ toàn bộ Thông tư số 07/2022/TT-BKHCN (Nhận định tại cột số 4 là chưa cụ thể, chưa rõ ràng).</w:t>
            </w:r>
          </w:p>
          <w:p w14:paraId="00000052">
            <w:pPr>
              <w:ind w:left="139" w:right="129" w:firstLine="284"/>
              <w:jc w:val="both"/>
              <w:rPr>
                <w:rFonts w:hint="default" w:ascii="Times New Roman" w:hAnsi="Times New Roman" w:cs="Times New Roman"/>
                <w:color w:val="auto"/>
                <w:sz w:val="24"/>
                <w:szCs w:val="24"/>
              </w:rPr>
            </w:pPr>
          </w:p>
        </w:tc>
      </w:tr>
      <w:tr w14:paraId="59B9310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54">
            <w:pPr>
              <w:pStyle w:val="21"/>
              <w:numPr>
                <w:ilvl w:val="0"/>
                <w:numId w:val="3"/>
              </w:numPr>
              <w:pBdr>
                <w:top w:val="none" w:color="auto" w:sz="0" w:space="0"/>
                <w:left w:val="none" w:color="auto" w:sz="0" w:space="0"/>
                <w:bottom w:val="none" w:color="auto" w:sz="0" w:space="0"/>
                <w:right w:val="none" w:color="auto" w:sz="0" w:space="0"/>
                <w:between w:val="none" w:color="auto" w:sz="0" w:space="0"/>
              </w:pBdr>
              <w:ind w:left="277"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587E2821">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12/2022/TT-BKHCN ngày 15/8/2022 của Bộ</w:t>
            </w:r>
          </w:p>
          <w:p w14:paraId="00000055">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KH&amp;CN quy định định mức kinh tế - kỹ thuật cho nhóm dịch vụ sự nghiệp công sử dụng ngân sách nhà nước về thông tin, tuyên truyền trong lĩnh vực tiêu chuẩn đo lường chất lượng.</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F3A7113">
            <w:pPr>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Căn cứ Luật Tiêu chuẩn và quy chuẩn kỹ thuật số 68/2006/QH11 được sửa đổi, bổ sung bởi Luật số 35/2018/QH14 và Luật số 70/2025/QH15;</w:t>
            </w:r>
          </w:p>
          <w:p w14:paraId="00000056">
            <w:pPr>
              <w:ind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Căn cứ Luật Chất lượng sản phẩm, hàng hóa số 05/2007/QH12 được sửa đổi, bổ sung bởi Luật số 78/2025/QH15</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57">
            <w:pPr>
              <w:ind w:left="138" w:right="130" w:firstLine="284"/>
              <w:jc w:val="both"/>
              <w:rPr>
                <w:rFonts w:hint="default" w:ascii="Times New Roman" w:hAnsi="Times New Roman" w:cs="Times New Roman"/>
                <w:color w:val="auto"/>
                <w:sz w:val="24"/>
                <w:szCs w:val="24"/>
                <w:lang w:val="en-US"/>
              </w:rPr>
            </w:pPr>
            <w:r>
              <w:rPr>
                <w:rFonts w:hint="default" w:ascii="Times New Roman" w:hAnsi="Times New Roman" w:cs="Times New Roman"/>
                <w:color w:val="auto"/>
                <w:sz w:val="24"/>
                <w:szCs w:val="24"/>
              </w:rPr>
              <w:t>Rà soát sự phù hợp của định mức kinh tế - kỹ thuật với cơ chế quản lý, sử dụng ngân sách nhà nước và hệ thống văn bản hiện hành</w:t>
            </w:r>
            <w:r>
              <w:rPr>
                <w:rFonts w:hint="default" w:ascii="Times New Roman" w:hAnsi="Times New Roman" w:cs="Times New Roman"/>
                <w:color w:val="auto"/>
                <w:sz w:val="24"/>
                <w:szCs w:val="24"/>
                <w:lang w:val="en-US"/>
              </w:rPr>
              <w:t>.</w:t>
            </w:r>
          </w:p>
          <w:p w14:paraId="601CB8F5">
            <w:pPr>
              <w:ind w:left="138" w:right="130" w:firstLine="284"/>
              <w:jc w:val="both"/>
              <w:rPr>
                <w:rFonts w:hint="default" w:ascii="Times New Roman" w:hAnsi="Times New Roman" w:cs="Times New Roman"/>
                <w:color w:val="auto"/>
                <w:sz w:val="24"/>
                <w:szCs w:val="24"/>
                <w:lang w:val="en-US"/>
              </w:rPr>
            </w:pPr>
            <w:r>
              <w:rPr>
                <w:rFonts w:hint="default" w:ascii="Times New Roman" w:hAnsi="Times New Roman" w:cs="Times New Roman"/>
                <w:b w:val="0"/>
                <w:bCs w:val="0"/>
                <w:color w:val="auto"/>
                <w:sz w:val="24"/>
                <w:szCs w:val="24"/>
              </w:rPr>
              <w:t>Đ</w:t>
            </w:r>
            <w:r>
              <w:rPr>
                <w:rFonts w:hint="default" w:ascii="Times New Roman" w:hAnsi="Times New Roman" w:cs="Times New Roman"/>
                <w:color w:val="auto"/>
                <w:sz w:val="24"/>
                <w:szCs w:val="24"/>
              </w:rPr>
              <w:t>ã được thực hiện theo Thông tư số 23/2026/TT-BKHCN ngày 28/5/2026 Quy định lập dự toán, quản lý, sử dụng và quyết toán kinh phí ngân sách nhà nước lĩnh vực khoa học, công nghệ, đổi mới sáng tạo và chuyển đổi số cho hoạt động tiêu chuẩn, hoạt động quy chuẩn kỹ thuật</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58">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2026</w:t>
            </w:r>
            <w:r>
              <w:rPr>
                <w:rFonts w:hint="default" w:ascii="Times New Roman" w:hAnsi="Times New Roman" w:cs="Times New Roman"/>
                <w:color w:val="auto"/>
                <w:sz w:val="24"/>
                <w:szCs w:val="24"/>
              </w:rPr>
              <w:tab/>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00000059">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Tiêu chí 2</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320DAEF1">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Cần làm rõ, hoàn thiện thêm, phân tích cụ thể lý do bãi bỏ toàn bộ Thông tư số 12/2022/TT-BKHCN (Nhận định tại cột số 4 là chưa cụ thể, chưa rõ ràng).</w:t>
            </w:r>
          </w:p>
          <w:p w14:paraId="31849085">
            <w:pPr>
              <w:ind w:left="139" w:right="129" w:firstLine="284"/>
              <w:jc w:val="both"/>
              <w:rPr>
                <w:rFonts w:hint="default" w:ascii="Times New Roman" w:hAnsi="Times New Roman" w:cs="Times New Roman"/>
                <w:color w:val="auto"/>
                <w:sz w:val="24"/>
                <w:szCs w:val="24"/>
              </w:rPr>
            </w:pPr>
          </w:p>
          <w:p w14:paraId="0000005A">
            <w:pPr>
              <w:ind w:left="139" w:right="129" w:firstLine="284"/>
              <w:jc w:val="both"/>
              <w:rPr>
                <w:rFonts w:hint="default" w:ascii="Times New Roman" w:hAnsi="Times New Roman" w:cs="Times New Roman"/>
                <w:color w:val="auto"/>
                <w:sz w:val="24"/>
                <w:szCs w:val="24"/>
              </w:rPr>
            </w:pPr>
          </w:p>
        </w:tc>
      </w:tr>
      <w:tr w14:paraId="309A19E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763" w:type="dxa"/>
            <w:tcBorders>
              <w:top w:val="nil"/>
              <w:left w:val="single" w:color="000000" w:sz="8" w:space="0"/>
              <w:bottom w:val="single" w:color="000000" w:sz="8" w:space="0"/>
              <w:right w:val="single" w:color="000000" w:sz="8" w:space="0"/>
            </w:tcBorders>
            <w:shd w:val="clear" w:color="auto" w:fill="FFFFFF"/>
            <w:tcMar>
              <w:top w:w="0" w:type="dxa"/>
              <w:left w:w="0" w:type="dxa"/>
              <w:bottom w:w="0" w:type="dxa"/>
              <w:right w:w="0" w:type="dxa"/>
            </w:tcMar>
          </w:tcPr>
          <w:p w14:paraId="0000005C">
            <w:pPr>
              <w:pStyle w:val="21"/>
              <w:numPr>
                <w:ilvl w:val="0"/>
                <w:numId w:val="3"/>
              </w:numPr>
              <w:pBdr>
                <w:top w:val="none" w:color="auto" w:sz="0" w:space="0"/>
                <w:left w:val="none" w:color="auto" w:sz="0" w:space="0"/>
                <w:bottom w:val="none" w:color="auto" w:sz="0" w:space="0"/>
                <w:right w:val="none" w:color="auto" w:sz="0" w:space="0"/>
                <w:between w:val="none" w:color="auto" w:sz="0" w:space="0"/>
              </w:pBdr>
              <w:ind w:left="281" w:leftChars="0" w:firstLine="284" w:firstLineChars="0"/>
              <w:jc w:val="center"/>
              <w:rPr>
                <w:rFonts w:hint="default" w:ascii="Times New Roman" w:hAnsi="Times New Roman" w:eastAsia="Calibri" w:cs="Times New Roman"/>
                <w:color w:val="auto"/>
                <w:sz w:val="24"/>
                <w:szCs w:val="24"/>
              </w:rPr>
            </w:pPr>
          </w:p>
        </w:tc>
        <w:tc>
          <w:tcPr>
            <w:tcW w:w="2045"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63">
            <w:pPr>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Thông tư số 13/2022/TT-BKHCN ngày 15/9/2022 của Bộ KH&amp;CN quy định định mức kinh tế - kỹ thuật cho nhóm dịch vụ sự nghiệp công sử dụng ngân sách nhà nước đối với hoạt động tiêu chuẩn, quy chuẩn kỹ thuật và hoạt động giải thưởng chất lượng quốc gia</w:t>
            </w:r>
          </w:p>
        </w:tc>
        <w:tc>
          <w:tcPr>
            <w:tcW w:w="1984"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5FE9C72C">
            <w:pPr>
              <w:ind w:left="140" w:leftChars="0" w:right="124" w:rightChars="0" w:firstLine="0" w:firstLineChars="0"/>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Luật Tiêu chuẩn và quy chuẩn kỹ thuật số 68/2006/QH11 được sửa đổi, bổ sung bởi Luật số 35/2018/QH14 và Luật số 70/2025/QH15;Luật Chất lượng sản phẩm, hàng hóa số 05/2007/QH12 được sửa đổi, bổ sung bởi Luật số 78/2025/QH15;</w:t>
            </w:r>
          </w:p>
          <w:p w14:paraId="00000064">
            <w:pPr>
              <w:ind w:left="140" w:leftChars="0" w:right="124" w:rightChars="0" w:firstLine="0" w:firstLineChars="0"/>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xml:space="preserve">Nghị định số 22/2026/NĐ-CP ngày 16 tháng 01 năm 2026 của Nghị định số 37/2026/NĐ-CP ngày 23 tháng 01 năm 2026 </w:t>
            </w:r>
          </w:p>
        </w:tc>
        <w:tc>
          <w:tcPr>
            <w:tcW w:w="3260"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35ED6022">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Căn cứ ban hành Thông tư là Nghị định số 132/2008/NĐ-CP, Nghị định số 74/2018/NĐ-CP, Nghị định số 154/2018/NĐ-CP, Nghị định số 13/2022/NĐ-CP đã hết hiệu lực thi hành</w:t>
            </w:r>
          </w:p>
          <w:p w14:paraId="00000065">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Trong 05 định mức ban hành kèm theo Thông tư này có 03 định mức đề xuất thay thế hoàn toàn định mức cũ tương ứng và 02 định mức đề xuất bãi bỏ.</w:t>
            </w:r>
          </w:p>
          <w:p w14:paraId="6AE3AC41">
            <w:pPr>
              <w:ind w:left="138" w:right="130"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Đã được thực hiện theo Thông tư số 23/2026/TT-BKHCN ngày 28/5/2026 Quy định lập dự toán, quản lý, sử dụng và quyết toán kinh phí ngân sách nhà nước lĩnh vực khoa học, công nghệ, đổi mới sáng tạo và chuyển đổi số cho hoạt động tiêu chuẩn, hoạt động quy chuẩn kỹ thuật; Thông tư số 24/2026/TT-BKHCN ngày 30/5/2026 của Bộ trưởng Bộ Khoa học và Công nghệ quy định lập dự toán, quản lý, sử dụng và quyết toán kinh phí ngân sách nhà nước lĩnh vực khoa học, công nghệ, đổi mới sáng tạo và chuyển đổi số để thi hành Nghị định số 37/2026/NĐ-CP ngày 23 tháng 01 năm 2026 của Chính phủ quy định chi tiết một số điều và biện pháp để tổ chức, hướng dẫn thi hành Luật Chất lượng sản phẩm, hàng hóa</w:t>
            </w:r>
          </w:p>
        </w:tc>
        <w:tc>
          <w:tcPr>
            <w:tcW w:w="1402" w:type="dxa"/>
            <w:tcBorders>
              <w:top w:val="nil"/>
              <w:left w:val="nil"/>
              <w:bottom w:val="single" w:color="000000" w:sz="8" w:space="0"/>
              <w:right w:val="single" w:color="000000" w:sz="8" w:space="0"/>
            </w:tcBorders>
            <w:shd w:val="clear" w:color="auto" w:fill="FFFFFF"/>
            <w:tcMar>
              <w:top w:w="0" w:type="dxa"/>
              <w:left w:w="0" w:type="dxa"/>
              <w:bottom w:w="0" w:type="dxa"/>
              <w:right w:w="0" w:type="dxa"/>
            </w:tcMar>
          </w:tcPr>
          <w:p w14:paraId="00000066">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ab/>
            </w:r>
            <w:r>
              <w:rPr>
                <w:rFonts w:hint="default" w:ascii="Times New Roman" w:hAnsi="Times New Roman" w:cs="Times New Roman"/>
                <w:color w:val="auto"/>
                <w:sz w:val="24"/>
                <w:szCs w:val="24"/>
              </w:rPr>
              <w:t>2026</w:t>
            </w:r>
            <w:r>
              <w:rPr>
                <w:rFonts w:hint="default" w:ascii="Times New Roman" w:hAnsi="Times New Roman" w:cs="Times New Roman"/>
                <w:color w:val="auto"/>
                <w:sz w:val="24"/>
                <w:szCs w:val="24"/>
              </w:rPr>
              <w:tab/>
            </w:r>
          </w:p>
        </w:tc>
        <w:tc>
          <w:tcPr>
            <w:tcW w:w="1292" w:type="dxa"/>
            <w:tcBorders>
              <w:top w:val="nil"/>
              <w:left w:val="nil"/>
              <w:bottom w:val="single" w:color="000000" w:sz="8" w:space="0"/>
              <w:right w:val="single" w:color="000000" w:sz="4" w:space="0"/>
            </w:tcBorders>
            <w:shd w:val="clear" w:color="auto" w:fill="FFFFFF"/>
            <w:tcMar>
              <w:top w:w="0" w:type="dxa"/>
              <w:left w:w="0" w:type="dxa"/>
              <w:bottom w:w="0" w:type="dxa"/>
              <w:right w:w="0" w:type="dxa"/>
            </w:tcMar>
          </w:tcPr>
          <w:p w14:paraId="00000067">
            <w:pPr>
              <w:ind w:firstLine="284"/>
              <w:jc w:val="center"/>
              <w:rPr>
                <w:rFonts w:hint="default" w:ascii="Times New Roman" w:hAnsi="Times New Roman" w:cs="Times New Roman"/>
                <w:color w:val="auto"/>
                <w:sz w:val="24"/>
                <w:szCs w:val="24"/>
              </w:rPr>
            </w:pPr>
            <w:r>
              <w:rPr>
                <w:rFonts w:hint="default" w:ascii="Times New Roman" w:hAnsi="Times New Roman" w:cs="Times New Roman"/>
                <w:color w:val="auto"/>
                <w:sz w:val="24"/>
                <w:szCs w:val="24"/>
              </w:rPr>
              <w:t>Tiêu chí 2</w:t>
            </w:r>
          </w:p>
        </w:tc>
        <w:tc>
          <w:tcPr>
            <w:tcW w:w="3829"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tcPr>
          <w:p w14:paraId="5EB4811E">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Cần làm rõ, hoàn thiện thêm, phân tích cụ thể lý do bãi bỏ toàn bộ Thông tư số 13/2022/TT-BKHCN (Các căn cứ ban hành Thông tư số 13/2022/TT-BKHCN hết hiệu lực không phải là lý do đầy đủ để bãi bỏ toàn bộ Thông tư này).</w:t>
            </w:r>
          </w:p>
          <w:p w14:paraId="4DCA51FC">
            <w:pPr>
              <w:ind w:left="139" w:right="129" w:firstLine="284"/>
              <w:jc w:val="both"/>
              <w:rPr>
                <w:rFonts w:hint="default" w:ascii="Times New Roman" w:hAnsi="Times New Roman" w:cs="Times New Roman"/>
                <w:color w:val="auto"/>
                <w:sz w:val="24"/>
                <w:szCs w:val="24"/>
              </w:rPr>
            </w:pPr>
            <w:r>
              <w:rPr>
                <w:rFonts w:hint="default" w:ascii="Times New Roman" w:hAnsi="Times New Roman" w:cs="Times New Roman"/>
                <w:color w:val="auto"/>
                <w:sz w:val="24"/>
                <w:szCs w:val="24"/>
              </w:rPr>
              <w:t>- Chỉnh lý tên căn cứ rà soát cho đẩy đủ, chính xác.</w:t>
            </w:r>
          </w:p>
          <w:p w14:paraId="00000068">
            <w:pPr>
              <w:ind w:left="139" w:right="129" w:firstLine="284"/>
              <w:jc w:val="both"/>
              <w:rPr>
                <w:rFonts w:hint="default" w:ascii="Times New Roman" w:hAnsi="Times New Roman" w:cs="Times New Roman"/>
                <w:color w:val="auto"/>
                <w:sz w:val="24"/>
                <w:szCs w:val="24"/>
              </w:rPr>
            </w:pPr>
          </w:p>
        </w:tc>
      </w:tr>
      <w:tr w14:paraId="19C7B75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jc w:val="center"/>
        </w:trPr>
        <w:tc>
          <w:tcPr>
            <w:tcW w:w="14575" w:type="dxa"/>
            <w:gridSpan w:val="7"/>
            <w:tcBorders>
              <w:top w:val="nil"/>
              <w:left w:val="single" w:color="000000" w:sz="8" w:space="0"/>
              <w:bottom w:val="single" w:color="000000" w:sz="8" w:space="0"/>
              <w:right w:val="single" w:color="000000" w:sz="4" w:space="0"/>
            </w:tcBorders>
            <w:tcMar>
              <w:top w:w="0" w:type="dxa"/>
              <w:left w:w="0" w:type="dxa"/>
              <w:bottom w:w="0" w:type="dxa"/>
              <w:right w:w="0" w:type="dxa"/>
            </w:tcMar>
          </w:tcPr>
          <w:p w14:paraId="000000B9">
            <w:pPr>
              <w:ind w:right="130" w:firstLine="284"/>
              <w:jc w:val="center"/>
              <w:rPr>
                <w:rFonts w:hint="default" w:ascii="Times New Roman" w:hAnsi="Times New Roman" w:cs="Times New Roman"/>
                <w:color w:val="auto"/>
                <w:sz w:val="24"/>
                <w:szCs w:val="24"/>
                <w:vertAlign w:val="superscript"/>
              </w:rPr>
            </w:pPr>
            <w:r>
              <w:rPr>
                <w:rFonts w:hint="default" w:ascii="Times New Roman" w:hAnsi="Times New Roman" w:cs="Times New Roman"/>
                <w:b/>
                <w:bCs/>
                <w:color w:val="auto"/>
                <w:sz w:val="24"/>
                <w:szCs w:val="24"/>
              </w:rPr>
              <w:t xml:space="preserve">Tổng số VB đề xuất xử lý: </w:t>
            </w:r>
            <w:r>
              <w:rPr>
                <w:rFonts w:hint="default" w:ascii="Times New Roman" w:hAnsi="Times New Roman" w:cs="Times New Roman"/>
                <w:b/>
                <w:bCs/>
                <w:color w:val="auto"/>
                <w:sz w:val="24"/>
                <w:szCs w:val="24"/>
                <w:lang w:val="en-US"/>
              </w:rPr>
              <w:t>1</w:t>
            </w:r>
            <w:bookmarkStart w:id="1" w:name="_GoBack"/>
            <w:bookmarkEnd w:id="1"/>
            <w:r>
              <w:rPr>
                <w:rFonts w:hint="default" w:ascii="Times New Roman" w:hAnsi="Times New Roman" w:cs="Times New Roman"/>
                <w:b/>
                <w:bCs/>
                <w:color w:val="auto"/>
                <w:sz w:val="24"/>
                <w:szCs w:val="24"/>
                <w:lang w:val="en-US"/>
              </w:rPr>
              <w:t xml:space="preserve">4 </w:t>
            </w:r>
            <w:r>
              <w:rPr>
                <w:rFonts w:hint="default" w:ascii="Times New Roman" w:hAnsi="Times New Roman" w:cs="Times New Roman"/>
                <w:b/>
                <w:bCs/>
                <w:color w:val="auto"/>
                <w:sz w:val="24"/>
                <w:szCs w:val="24"/>
              </w:rPr>
              <w:t>văn bản</w:t>
            </w:r>
          </w:p>
        </w:tc>
      </w:tr>
    </w:tbl>
    <w:p w14:paraId="3F232A74">
      <w:pPr>
        <w:ind w:firstLine="284"/>
        <w:jc w:val="both"/>
        <w:rPr>
          <w:color w:val="auto"/>
          <w:sz w:val="26"/>
          <w:szCs w:val="26"/>
        </w:rPr>
      </w:pPr>
    </w:p>
    <w:sectPr>
      <w:headerReference r:id="rId3" w:type="default"/>
      <w:footerReference r:id="rId4" w:type="default"/>
      <w:footerReference r:id="rId5" w:type="even"/>
      <w:pgSz w:w="16840" w:h="11907" w:orient="landscape"/>
      <w:pgMar w:top="851" w:right="1134" w:bottom="851" w:left="1134" w:header="720" w:footer="720" w:gutter="0"/>
      <w:pgNumType w:start="1"/>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A342F48E-8FBC-4489-9825-B9DA8BC29EB2}"/>
  </w:font>
  <w:font w:name="Arial">
    <w:panose1 w:val="020B0604020202020204"/>
    <w:charset w:val="00"/>
    <w:family w:val="swiss"/>
    <w:pitch w:val="default"/>
    <w:sig w:usb0="E0002EFF" w:usb1="C000785B" w:usb2="00000009" w:usb3="00000000" w:csb0="400001FF" w:csb1="FFFF0000"/>
    <w:embedRegular r:id="rId2" w:fontKey="{29748573-06C9-4A48-9A75-4EE5C695BB83}"/>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CEFB2517-870F-47BC-8D5F-5F2AF0C71416}"/>
  </w:font>
  <w:font w:name="Wingdings">
    <w:panose1 w:val="05000000000000000000"/>
    <w:charset w:val="02"/>
    <w:family w:val="auto"/>
    <w:pitch w:val="default"/>
    <w:sig w:usb0="00000000" w:usb1="00000000" w:usb2="00000000" w:usb3="00000000" w:csb0="80000000" w:csb1="00000000"/>
    <w:embedRegular r:id="rId4" w:fontKey="{2122A919-2AF0-47DB-A87E-A7984794D991}"/>
  </w:font>
  <w:font w:name="Calibri">
    <w:panose1 w:val="020F0502020204030204"/>
    <w:charset w:val="00"/>
    <w:family w:val="swiss"/>
    <w:pitch w:val="default"/>
    <w:sig w:usb0="E4002EFF" w:usb1="C000247B" w:usb2="00000009" w:usb3="00000000" w:csb0="200001FF" w:csb1="00000000"/>
    <w:embedRegular r:id="rId5" w:fontKey="{E65A153E-83E4-4269-8399-7D83DE250B9A}"/>
  </w:font>
  <w:font w:name="Segoe UI">
    <w:panose1 w:val="020B0502040204020203"/>
    <w:charset w:val="00"/>
    <w:family w:val="swiss"/>
    <w:pitch w:val="default"/>
    <w:sig w:usb0="E4002EFF" w:usb1="C000E47F" w:usb2="00000009" w:usb3="00000000" w:csb0="200001FF" w:csb1="00000000"/>
    <w:embedRegular r:id="rId6" w:fontKey="{87C16357-48EE-4682-BD36-09BBC63C8AC4}"/>
  </w:font>
  <w:font w:name="Georgia">
    <w:panose1 w:val="02040502050405020303"/>
    <w:charset w:val="00"/>
    <w:family w:val="roman"/>
    <w:pitch w:val="default"/>
    <w:sig w:usb0="00000287" w:usb1="00000000" w:usb2="00000000" w:usb3="00000000" w:csb0="2000009F" w:csb1="00000000"/>
    <w:embedRegular r:id="rId7" w:fontKey="{0133C2A8-9FD7-4654-9277-A09B9C553B5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C2">
    <w:pPr>
      <w:pBdr>
        <w:top w:val="none" w:color="auto" w:sz="0" w:space="0"/>
        <w:left w:val="none" w:color="auto" w:sz="0" w:space="0"/>
        <w:bottom w:val="none" w:color="auto" w:sz="0" w:space="0"/>
        <w:right w:val="none" w:color="auto" w:sz="0" w:space="0"/>
        <w:between w:val="none" w:color="auto" w:sz="0" w:space="0"/>
      </w:pBdr>
      <w:tabs>
        <w:tab w:val="center" w:pos="4320"/>
        <w:tab w:val="right" w:pos="8640"/>
      </w:tabs>
      <w:ind w:right="360"/>
      <w:rPr>
        <w:color w:val="000000"/>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C3">
    <w:pPr>
      <w:pBdr>
        <w:top w:val="none" w:color="auto" w:sz="0" w:space="0"/>
        <w:left w:val="none" w:color="auto" w:sz="0" w:space="0"/>
        <w:bottom w:val="none" w:color="auto" w:sz="0" w:space="0"/>
        <w:right w:val="none" w:color="auto" w:sz="0" w:space="0"/>
        <w:between w:val="none" w:color="auto" w:sz="0" w:space="0"/>
      </w:pBdr>
      <w:tabs>
        <w:tab w:val="center" w:pos="4320"/>
        <w:tab w:val="right" w:pos="8640"/>
      </w:tabs>
      <w:jc w:val="right"/>
      <w:rPr>
        <w:color w:val="000000"/>
        <w:sz w:val="24"/>
        <w:szCs w:val="24"/>
      </w:rPr>
    </w:pPr>
    <w:r>
      <w:rPr>
        <w:color w:val="000000"/>
        <w:sz w:val="24"/>
        <w:szCs w:val="24"/>
      </w:rPr>
      <w:fldChar w:fldCharType="begin"/>
    </w:r>
    <w:r>
      <w:rPr>
        <w:color w:val="000000"/>
        <w:sz w:val="24"/>
        <w:szCs w:val="24"/>
      </w:rPr>
      <w:instrText xml:space="preserve">PAGE</w:instrText>
    </w:r>
    <w:r>
      <w:rPr>
        <w:color w:val="000000"/>
        <w:sz w:val="24"/>
        <w:szCs w:val="24"/>
      </w:rPr>
      <w:fldChar w:fldCharType="end"/>
    </w:r>
  </w:p>
  <w:p w14:paraId="000000C4">
    <w:pPr>
      <w:pBdr>
        <w:top w:val="none" w:color="auto" w:sz="0" w:space="0"/>
        <w:left w:val="none" w:color="auto" w:sz="0" w:space="0"/>
        <w:bottom w:val="none" w:color="auto" w:sz="0" w:space="0"/>
        <w:right w:val="none" w:color="auto" w:sz="0" w:space="0"/>
        <w:between w:val="none" w:color="auto" w:sz="0" w:space="0"/>
      </w:pBdr>
      <w:tabs>
        <w:tab w:val="center" w:pos="4320"/>
        <w:tab w:val="right" w:pos="8640"/>
      </w:tabs>
      <w:ind w:right="360"/>
      <w:rPr>
        <w:color w:val="000000"/>
        <w:sz w:val="24"/>
        <w:szCs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C1">
    <w:pPr>
      <w:pBdr>
        <w:top w:val="none" w:color="auto" w:sz="0" w:space="0"/>
        <w:left w:val="none" w:color="auto" w:sz="0" w:space="0"/>
        <w:bottom w:val="none" w:color="auto" w:sz="0" w:space="0"/>
        <w:right w:val="none" w:color="auto" w:sz="0" w:space="0"/>
        <w:between w:val="none" w:color="auto" w:sz="0" w:space="0"/>
      </w:pBdr>
      <w:tabs>
        <w:tab w:val="center" w:pos="4513"/>
        <w:tab w:val="right" w:pos="9026"/>
      </w:tabs>
      <w:jc w:val="center"/>
      <w:rPr>
        <w:color w:val="000000"/>
      </w:rPr>
    </w:pPr>
    <w:r>
      <w:rPr>
        <w:color w:val="000000"/>
      </w:rPr>
      <w:fldChar w:fldCharType="begin"/>
    </w:r>
    <w:r>
      <w:rPr>
        <w:color w:val="000000"/>
      </w:rPr>
      <w:instrText xml:space="preserve">PAGE</w:instrText>
    </w:r>
    <w:r>
      <w:rPr>
        <w:color w:val="000000"/>
      </w:rPr>
      <w:fldChar w:fldCharType="separate"/>
    </w:r>
    <w:r>
      <w:rPr>
        <w:color w:val="000000"/>
      </w:rPr>
      <w:t>13</w:t>
    </w:r>
    <w:r>
      <w:rPr>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4493A87"/>
    <w:multiLevelType w:val="multilevel"/>
    <w:tmpl w:val="24493A87"/>
    <w:lvl w:ilvl="0" w:tentative="0">
      <w:start w:val="1"/>
      <w:numFmt w:val="decimal"/>
      <w:lvlText w:val="%1."/>
      <w:lvlJc w:val="left"/>
      <w:pPr>
        <w:ind w:left="653" w:hanging="359"/>
      </w:pPr>
      <w:rPr>
        <w:rFonts w:ascii="Times New Roman" w:hAnsi="Times New Roman" w:eastAsia="Times New Roman" w:cs="Times New Roman"/>
        <w:sz w:val="28"/>
        <w:szCs w:val="28"/>
      </w:rPr>
    </w:lvl>
    <w:lvl w:ilvl="1" w:tentative="0">
      <w:start w:val="1"/>
      <w:numFmt w:val="lowerLetter"/>
      <w:lvlText w:val="%2."/>
      <w:lvlJc w:val="left"/>
      <w:pPr>
        <w:ind w:left="1866" w:hanging="360"/>
      </w:pPr>
    </w:lvl>
    <w:lvl w:ilvl="2" w:tentative="0">
      <w:start w:val="1"/>
      <w:numFmt w:val="lowerRoman"/>
      <w:lvlText w:val="%3."/>
      <w:lvlJc w:val="right"/>
      <w:pPr>
        <w:ind w:left="2586" w:hanging="180"/>
      </w:pPr>
    </w:lvl>
    <w:lvl w:ilvl="3" w:tentative="0">
      <w:start w:val="1"/>
      <w:numFmt w:val="decimal"/>
      <w:lvlText w:val="%4."/>
      <w:lvlJc w:val="left"/>
      <w:pPr>
        <w:ind w:left="3306" w:hanging="360"/>
      </w:pPr>
    </w:lvl>
    <w:lvl w:ilvl="4" w:tentative="0">
      <w:start w:val="1"/>
      <w:numFmt w:val="lowerLetter"/>
      <w:lvlText w:val="%5."/>
      <w:lvlJc w:val="left"/>
      <w:pPr>
        <w:ind w:left="4026" w:hanging="360"/>
      </w:pPr>
    </w:lvl>
    <w:lvl w:ilvl="5" w:tentative="0">
      <w:start w:val="1"/>
      <w:numFmt w:val="lowerRoman"/>
      <w:lvlText w:val="%6."/>
      <w:lvlJc w:val="right"/>
      <w:pPr>
        <w:ind w:left="4746" w:hanging="180"/>
      </w:pPr>
    </w:lvl>
    <w:lvl w:ilvl="6" w:tentative="0">
      <w:start w:val="1"/>
      <w:numFmt w:val="decimal"/>
      <w:lvlText w:val="%7."/>
      <w:lvlJc w:val="left"/>
      <w:pPr>
        <w:ind w:left="5466" w:hanging="360"/>
      </w:pPr>
    </w:lvl>
    <w:lvl w:ilvl="7" w:tentative="0">
      <w:start w:val="1"/>
      <w:numFmt w:val="lowerLetter"/>
      <w:lvlText w:val="%8."/>
      <w:lvlJc w:val="left"/>
      <w:pPr>
        <w:ind w:left="6186" w:hanging="360"/>
      </w:pPr>
    </w:lvl>
    <w:lvl w:ilvl="8" w:tentative="0">
      <w:start w:val="1"/>
      <w:numFmt w:val="lowerRoman"/>
      <w:lvlText w:val="%9."/>
      <w:lvlJc w:val="right"/>
      <w:pPr>
        <w:ind w:left="6906" w:hanging="180"/>
      </w:pPr>
    </w:lvl>
  </w:abstractNum>
  <w:abstractNum w:abstractNumId="1">
    <w:nsid w:val="47147B26"/>
    <w:multiLevelType w:val="multilevel"/>
    <w:tmpl w:val="47147B26"/>
    <w:lvl w:ilvl="0" w:tentative="0">
      <w:start w:val="1"/>
      <w:numFmt w:val="decimal"/>
      <w:lvlText w:val="%1."/>
      <w:lvlJc w:val="left"/>
      <w:pPr>
        <w:ind w:left="644" w:hanging="359"/>
      </w:pPr>
      <w:rPr>
        <w:rFonts w:ascii="Times New Roman" w:hAnsi="Times New Roman" w:eastAsia="Times New Roman" w:cs="Times New Roman"/>
        <w:sz w:val="28"/>
        <w:szCs w:val="28"/>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4F220EF6"/>
    <w:multiLevelType w:val="multilevel"/>
    <w:tmpl w:val="4F220EF6"/>
    <w:lvl w:ilvl="0" w:tentative="0">
      <w:start w:val="1"/>
      <w:numFmt w:val="decimal"/>
      <w:lvlText w:val="%1."/>
      <w:lvlJc w:val="left"/>
      <w:pPr>
        <w:ind w:left="938" w:hanging="359"/>
      </w:pPr>
      <w:rPr>
        <w:rFonts w:ascii="Times New Roman" w:hAnsi="Times New Roman" w:eastAsia="Times New Roman" w:cs="Times New Roman"/>
        <w:sz w:val="28"/>
        <w:szCs w:val="28"/>
      </w:rPr>
    </w:lvl>
    <w:lvl w:ilvl="1" w:tentative="0">
      <w:start w:val="1"/>
      <w:numFmt w:val="lowerLetter"/>
      <w:lvlText w:val="%2."/>
      <w:lvlJc w:val="left"/>
      <w:pPr>
        <w:ind w:left="1734" w:hanging="360"/>
      </w:pPr>
    </w:lvl>
    <w:lvl w:ilvl="2" w:tentative="0">
      <w:start w:val="1"/>
      <w:numFmt w:val="lowerRoman"/>
      <w:lvlText w:val="%3."/>
      <w:lvlJc w:val="right"/>
      <w:pPr>
        <w:ind w:left="2454" w:hanging="180"/>
      </w:pPr>
    </w:lvl>
    <w:lvl w:ilvl="3" w:tentative="0">
      <w:start w:val="1"/>
      <w:numFmt w:val="decimal"/>
      <w:lvlText w:val="%4."/>
      <w:lvlJc w:val="left"/>
      <w:pPr>
        <w:ind w:left="3174" w:hanging="360"/>
      </w:pPr>
    </w:lvl>
    <w:lvl w:ilvl="4" w:tentative="0">
      <w:start w:val="1"/>
      <w:numFmt w:val="lowerLetter"/>
      <w:lvlText w:val="%5."/>
      <w:lvlJc w:val="left"/>
      <w:pPr>
        <w:ind w:left="3894" w:hanging="360"/>
      </w:pPr>
    </w:lvl>
    <w:lvl w:ilvl="5" w:tentative="0">
      <w:start w:val="1"/>
      <w:numFmt w:val="lowerRoman"/>
      <w:lvlText w:val="%6."/>
      <w:lvlJc w:val="right"/>
      <w:pPr>
        <w:ind w:left="4614" w:hanging="180"/>
      </w:pPr>
    </w:lvl>
    <w:lvl w:ilvl="6" w:tentative="0">
      <w:start w:val="1"/>
      <w:numFmt w:val="decimal"/>
      <w:lvlText w:val="%7."/>
      <w:lvlJc w:val="left"/>
      <w:pPr>
        <w:ind w:left="5334" w:hanging="360"/>
      </w:pPr>
    </w:lvl>
    <w:lvl w:ilvl="7" w:tentative="0">
      <w:start w:val="1"/>
      <w:numFmt w:val="lowerLetter"/>
      <w:lvlText w:val="%8."/>
      <w:lvlJc w:val="left"/>
      <w:pPr>
        <w:ind w:left="6054" w:hanging="360"/>
      </w:pPr>
    </w:lvl>
    <w:lvl w:ilvl="8" w:tentative="0">
      <w:start w:val="1"/>
      <w:numFmt w:val="lowerRoman"/>
      <w:lvlText w:val="%9."/>
      <w:lvlJc w:val="right"/>
      <w:pPr>
        <w:ind w:left="6774"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bordersDoNotSurroundHeader w:val="0"/>
  <w:bordersDoNotSurroundFooter w:val="0"/>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1550"/>
    <w:rsid w:val="00013221"/>
    <w:rsid w:val="00080680"/>
    <w:rsid w:val="000843F7"/>
    <w:rsid w:val="0009019E"/>
    <w:rsid w:val="000A1A83"/>
    <w:rsid w:val="000D0627"/>
    <w:rsid w:val="000F2687"/>
    <w:rsid w:val="001013C2"/>
    <w:rsid w:val="001346E2"/>
    <w:rsid w:val="00160670"/>
    <w:rsid w:val="00160A49"/>
    <w:rsid w:val="00184C63"/>
    <w:rsid w:val="001D2CE9"/>
    <w:rsid w:val="001D2F63"/>
    <w:rsid w:val="00221FAF"/>
    <w:rsid w:val="002262A6"/>
    <w:rsid w:val="00280617"/>
    <w:rsid w:val="00282C5A"/>
    <w:rsid w:val="00295CE6"/>
    <w:rsid w:val="002B1550"/>
    <w:rsid w:val="002C1E0B"/>
    <w:rsid w:val="002E6DE0"/>
    <w:rsid w:val="002F6EF5"/>
    <w:rsid w:val="00324A77"/>
    <w:rsid w:val="00325373"/>
    <w:rsid w:val="0035502A"/>
    <w:rsid w:val="00355AE8"/>
    <w:rsid w:val="003925F4"/>
    <w:rsid w:val="003A2C35"/>
    <w:rsid w:val="003B2AEA"/>
    <w:rsid w:val="003B6A8E"/>
    <w:rsid w:val="003D45C8"/>
    <w:rsid w:val="003E0B7D"/>
    <w:rsid w:val="003F21BE"/>
    <w:rsid w:val="00435118"/>
    <w:rsid w:val="00462C02"/>
    <w:rsid w:val="00470CDB"/>
    <w:rsid w:val="004723A4"/>
    <w:rsid w:val="004906AD"/>
    <w:rsid w:val="004F406A"/>
    <w:rsid w:val="00502500"/>
    <w:rsid w:val="005375B9"/>
    <w:rsid w:val="00556F67"/>
    <w:rsid w:val="0057322B"/>
    <w:rsid w:val="00580016"/>
    <w:rsid w:val="00597A8B"/>
    <w:rsid w:val="005A65A3"/>
    <w:rsid w:val="00603DDC"/>
    <w:rsid w:val="00620F10"/>
    <w:rsid w:val="00631214"/>
    <w:rsid w:val="006619AD"/>
    <w:rsid w:val="006A184F"/>
    <w:rsid w:val="006F10BE"/>
    <w:rsid w:val="0072750B"/>
    <w:rsid w:val="007635DE"/>
    <w:rsid w:val="00797606"/>
    <w:rsid w:val="007B6860"/>
    <w:rsid w:val="007F2B9E"/>
    <w:rsid w:val="00807C24"/>
    <w:rsid w:val="00811F4C"/>
    <w:rsid w:val="008314D1"/>
    <w:rsid w:val="00832634"/>
    <w:rsid w:val="008866A7"/>
    <w:rsid w:val="00891B78"/>
    <w:rsid w:val="008B445C"/>
    <w:rsid w:val="00905FF3"/>
    <w:rsid w:val="00927B7F"/>
    <w:rsid w:val="0095122E"/>
    <w:rsid w:val="00953BD1"/>
    <w:rsid w:val="00961F41"/>
    <w:rsid w:val="00965334"/>
    <w:rsid w:val="0097721C"/>
    <w:rsid w:val="009821E5"/>
    <w:rsid w:val="00984932"/>
    <w:rsid w:val="009925D2"/>
    <w:rsid w:val="0099676D"/>
    <w:rsid w:val="009C437C"/>
    <w:rsid w:val="009D341B"/>
    <w:rsid w:val="00A2404C"/>
    <w:rsid w:val="00A621F5"/>
    <w:rsid w:val="00A73D29"/>
    <w:rsid w:val="00A87577"/>
    <w:rsid w:val="00A95F92"/>
    <w:rsid w:val="00AD504C"/>
    <w:rsid w:val="00B40CFE"/>
    <w:rsid w:val="00B441A8"/>
    <w:rsid w:val="00B462EE"/>
    <w:rsid w:val="00B52623"/>
    <w:rsid w:val="00B8249B"/>
    <w:rsid w:val="00BA2679"/>
    <w:rsid w:val="00C16DB3"/>
    <w:rsid w:val="00C91226"/>
    <w:rsid w:val="00CA1930"/>
    <w:rsid w:val="00CA38A9"/>
    <w:rsid w:val="00CA7453"/>
    <w:rsid w:val="00CB7C50"/>
    <w:rsid w:val="00CC172D"/>
    <w:rsid w:val="00CD138B"/>
    <w:rsid w:val="00CD5ED6"/>
    <w:rsid w:val="00CF520E"/>
    <w:rsid w:val="00D12301"/>
    <w:rsid w:val="00D31527"/>
    <w:rsid w:val="00D62043"/>
    <w:rsid w:val="00D72937"/>
    <w:rsid w:val="00D76BFA"/>
    <w:rsid w:val="00D84965"/>
    <w:rsid w:val="00D91573"/>
    <w:rsid w:val="00D95761"/>
    <w:rsid w:val="00DC0C83"/>
    <w:rsid w:val="00DE06BB"/>
    <w:rsid w:val="00DF244F"/>
    <w:rsid w:val="00E314BC"/>
    <w:rsid w:val="00E334ED"/>
    <w:rsid w:val="00E560B5"/>
    <w:rsid w:val="00E8148A"/>
    <w:rsid w:val="00E8373A"/>
    <w:rsid w:val="00E90EF8"/>
    <w:rsid w:val="00EA050A"/>
    <w:rsid w:val="00EA7273"/>
    <w:rsid w:val="00EC459D"/>
    <w:rsid w:val="00EF7B27"/>
    <w:rsid w:val="00F0553B"/>
    <w:rsid w:val="00F101CD"/>
    <w:rsid w:val="00F41B42"/>
    <w:rsid w:val="00F62BB7"/>
    <w:rsid w:val="00F90AEC"/>
    <w:rsid w:val="00F97184"/>
    <w:rsid w:val="00FB6F8A"/>
    <w:rsid w:val="00FC7BFF"/>
    <w:rsid w:val="00FF0369"/>
    <w:rsid w:val="0EC15643"/>
    <w:rsid w:val="11A92B07"/>
    <w:rsid w:val="1923584D"/>
    <w:rsid w:val="243C647F"/>
    <w:rsid w:val="279E360D"/>
    <w:rsid w:val="39A76AC5"/>
    <w:rsid w:val="626E0178"/>
    <w:rsid w:val="741E59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 w:eastAsia="en-US" w:bidi="ar-SA"/>
    </w:rPr>
  </w:style>
  <w:style w:type="paragraph" w:styleId="2">
    <w:name w:val="heading 1"/>
    <w:basedOn w:val="1"/>
    <w:next w:val="1"/>
    <w:qFormat/>
    <w:uiPriority w:val="9"/>
    <w:pPr>
      <w:keepNext/>
      <w:spacing w:before="240" w:after="60"/>
      <w:outlineLvl w:val="0"/>
    </w:pPr>
    <w:rPr>
      <w:rFonts w:ascii="Calibri" w:hAnsi="Calibri" w:eastAsia="Calibri" w:cs="Calibri"/>
      <w:b/>
      <w:bCs/>
      <w:sz w:val="32"/>
      <w:szCs w:val="32"/>
    </w:rPr>
  </w:style>
  <w:style w:type="paragraph" w:styleId="3">
    <w:name w:val="heading 2"/>
    <w:basedOn w:val="1"/>
    <w:next w:val="1"/>
    <w:semiHidden/>
    <w:unhideWhenUsed/>
    <w:qFormat/>
    <w:uiPriority w:val="9"/>
    <w:pPr>
      <w:keepNext/>
      <w:keepLines/>
      <w:spacing w:before="360" w:after="80"/>
      <w:outlineLvl w:val="1"/>
    </w:pPr>
    <w:rPr>
      <w:b/>
      <w:bCs/>
      <w:sz w:val="36"/>
      <w:szCs w:val="36"/>
    </w:rPr>
  </w:style>
  <w:style w:type="paragraph" w:styleId="4">
    <w:name w:val="heading 3"/>
    <w:basedOn w:val="1"/>
    <w:next w:val="1"/>
    <w:semiHidden/>
    <w:unhideWhenUsed/>
    <w:qFormat/>
    <w:uiPriority w:val="9"/>
    <w:pPr>
      <w:keepNext/>
      <w:keepLines/>
      <w:spacing w:before="280" w:after="80"/>
      <w:outlineLvl w:val="2"/>
    </w:pPr>
    <w:rPr>
      <w:b/>
      <w:bCs/>
    </w:rPr>
  </w:style>
  <w:style w:type="paragraph" w:styleId="5">
    <w:name w:val="heading 4"/>
    <w:basedOn w:val="1"/>
    <w:next w:val="1"/>
    <w:semiHidden/>
    <w:unhideWhenUsed/>
    <w:qFormat/>
    <w:uiPriority w:val="9"/>
    <w:pPr>
      <w:keepNext/>
      <w:keepLines/>
      <w:spacing w:before="240" w:after="40"/>
      <w:outlineLvl w:val="3"/>
    </w:pPr>
    <w:rPr>
      <w:b/>
      <w:bCs/>
      <w:sz w:val="24"/>
      <w:szCs w:val="24"/>
    </w:rPr>
  </w:style>
  <w:style w:type="paragraph" w:styleId="6">
    <w:name w:val="heading 5"/>
    <w:basedOn w:val="1"/>
    <w:next w:val="1"/>
    <w:semiHidden/>
    <w:unhideWhenUsed/>
    <w:qFormat/>
    <w:uiPriority w:val="9"/>
    <w:pPr>
      <w:keepNext/>
      <w:keepLines/>
      <w:spacing w:before="220" w:after="40"/>
      <w:outlineLvl w:val="4"/>
    </w:pPr>
    <w:rPr>
      <w:b/>
      <w:bCs/>
      <w:sz w:val="22"/>
      <w:szCs w:val="22"/>
    </w:rPr>
  </w:style>
  <w:style w:type="paragraph" w:styleId="7">
    <w:name w:val="heading 6"/>
    <w:basedOn w:val="1"/>
    <w:next w:val="1"/>
    <w:semiHidden/>
    <w:unhideWhenUsed/>
    <w:qFormat/>
    <w:uiPriority w:val="9"/>
    <w:pPr>
      <w:keepNext/>
      <w:keepLines/>
      <w:spacing w:before="200" w:after="40"/>
      <w:outlineLvl w:val="5"/>
    </w:pPr>
    <w:rPr>
      <w:b/>
      <w:bCs/>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alloon Text"/>
    <w:basedOn w:val="1"/>
    <w:link w:val="20"/>
    <w:semiHidden/>
    <w:unhideWhenUsed/>
    <w:qFormat/>
    <w:uiPriority w:val="99"/>
    <w:rPr>
      <w:rFonts w:ascii="Segoe UI" w:hAnsi="Segoe UI" w:cs="Segoe UI"/>
      <w:sz w:val="18"/>
      <w:szCs w:val="18"/>
    </w:rPr>
  </w:style>
  <w:style w:type="character" w:styleId="11">
    <w:name w:val="annotation reference"/>
    <w:basedOn w:val="8"/>
    <w:semiHidden/>
    <w:unhideWhenUsed/>
    <w:qFormat/>
    <w:uiPriority w:val="99"/>
    <w:rPr>
      <w:sz w:val="16"/>
      <w:szCs w:val="16"/>
    </w:rPr>
  </w:style>
  <w:style w:type="paragraph" w:styleId="12">
    <w:name w:val="annotation text"/>
    <w:basedOn w:val="1"/>
    <w:link w:val="19"/>
    <w:unhideWhenUsed/>
    <w:qFormat/>
    <w:uiPriority w:val="99"/>
    <w:rPr>
      <w:sz w:val="20"/>
      <w:szCs w:val="20"/>
    </w:rPr>
  </w:style>
  <w:style w:type="paragraph" w:styleId="13">
    <w:name w:val="annotation subject"/>
    <w:basedOn w:val="12"/>
    <w:next w:val="12"/>
    <w:link w:val="22"/>
    <w:semiHidden/>
    <w:unhideWhenUsed/>
    <w:qFormat/>
    <w:uiPriority w:val="99"/>
    <w:rPr>
      <w:b/>
      <w:bCs/>
    </w:rPr>
  </w:style>
  <w:style w:type="paragraph" w:styleId="14">
    <w:name w:val="Normal (Web)"/>
    <w:semiHidden/>
    <w:unhideWhenUsed/>
    <w:uiPriority w:val="99"/>
    <w:pPr>
      <w:spacing w:before="0" w:beforeAutospacing="1" w:after="0" w:afterAutospacing="1"/>
      <w:ind w:left="0" w:right="0"/>
      <w:jc w:val="left"/>
    </w:pPr>
    <w:rPr>
      <w:kern w:val="0"/>
      <w:sz w:val="24"/>
      <w:szCs w:val="24"/>
      <w:lang w:val="en-US" w:eastAsia="zh-CN" w:bidi="ar"/>
    </w:rPr>
  </w:style>
  <w:style w:type="paragraph" w:styleId="15">
    <w:name w:val="Subtitle"/>
    <w:basedOn w:val="1"/>
    <w:next w:val="1"/>
    <w:qFormat/>
    <w:uiPriority w:val="11"/>
    <w:pPr>
      <w:keepNext/>
      <w:keepLines/>
      <w:spacing w:before="360" w:after="80"/>
    </w:pPr>
    <w:rPr>
      <w:rFonts w:ascii="Georgia" w:hAnsi="Georgia" w:eastAsia="Georgia" w:cs="Georgia"/>
      <w:i/>
      <w:iCs/>
      <w:color w:val="666666"/>
      <w:sz w:val="48"/>
      <w:szCs w:val="48"/>
    </w:rPr>
  </w:style>
  <w:style w:type="paragraph" w:styleId="16">
    <w:name w:val="Title"/>
    <w:basedOn w:val="1"/>
    <w:next w:val="1"/>
    <w:qFormat/>
    <w:uiPriority w:val="10"/>
    <w:pPr>
      <w:keepNext/>
      <w:keepLines/>
      <w:spacing w:before="480" w:after="120"/>
    </w:pPr>
    <w:rPr>
      <w:b/>
      <w:bCs/>
      <w:sz w:val="72"/>
      <w:szCs w:val="72"/>
    </w:rPr>
  </w:style>
  <w:style w:type="table" w:customStyle="1" w:styleId="17">
    <w:name w:val="TableNormal"/>
    <w:qFormat/>
    <w:uiPriority w:val="0"/>
    <w:tblPr>
      <w:tblCellMar>
        <w:top w:w="100" w:type="dxa"/>
        <w:left w:w="100" w:type="dxa"/>
        <w:bottom w:w="100" w:type="dxa"/>
        <w:right w:w="100" w:type="dxa"/>
      </w:tblCellMar>
    </w:tblPr>
  </w:style>
  <w:style w:type="table" w:customStyle="1" w:styleId="18">
    <w:name w:val="_Style 12"/>
    <w:basedOn w:val="17"/>
    <w:qFormat/>
    <w:uiPriority w:val="0"/>
    <w:tblPr>
      <w:tblCellMar>
        <w:top w:w="0" w:type="dxa"/>
        <w:left w:w="0" w:type="dxa"/>
        <w:bottom w:w="0" w:type="dxa"/>
        <w:right w:w="0" w:type="dxa"/>
      </w:tblCellMar>
    </w:tblPr>
  </w:style>
  <w:style w:type="character" w:customStyle="1" w:styleId="19">
    <w:name w:val="Comment Text Char"/>
    <w:basedOn w:val="8"/>
    <w:link w:val="12"/>
    <w:qFormat/>
    <w:uiPriority w:val="99"/>
    <w:rPr>
      <w:sz w:val="20"/>
      <w:szCs w:val="20"/>
    </w:rPr>
  </w:style>
  <w:style w:type="character" w:customStyle="1" w:styleId="20">
    <w:name w:val="Balloon Text Char"/>
    <w:basedOn w:val="8"/>
    <w:link w:val="10"/>
    <w:semiHidden/>
    <w:qFormat/>
    <w:uiPriority w:val="99"/>
    <w:rPr>
      <w:rFonts w:ascii="Segoe UI" w:hAnsi="Segoe UI" w:cs="Segoe UI"/>
      <w:sz w:val="18"/>
      <w:szCs w:val="18"/>
    </w:rPr>
  </w:style>
  <w:style w:type="paragraph" w:styleId="21">
    <w:name w:val="List Paragraph"/>
    <w:basedOn w:val="1"/>
    <w:qFormat/>
    <w:uiPriority w:val="34"/>
    <w:pPr>
      <w:ind w:left="720"/>
      <w:contextualSpacing/>
    </w:pPr>
  </w:style>
  <w:style w:type="character" w:customStyle="1" w:styleId="22">
    <w:name w:val="Comment Subject Char"/>
    <w:basedOn w:val="19"/>
    <w:link w:val="13"/>
    <w:semiHidden/>
    <w:qFormat/>
    <w:uiPriority w:val="99"/>
    <w:rPr>
      <w:b/>
      <w:bCs/>
      <w:sz w:val="20"/>
      <w:szCs w:val="20"/>
    </w:rPr>
  </w:style>
  <w:style w:type="paragraph" w:customStyle="1" w:styleId="23">
    <w:name w:val="Revision"/>
    <w:hidden/>
    <w:semiHidden/>
    <w:qFormat/>
    <w:uiPriority w:val="99"/>
    <w:rPr>
      <w:rFonts w:ascii="Times New Roman" w:hAnsi="Times New Roman" w:eastAsia="Times New Roman" w:cs="Times New Roman"/>
      <w:sz w:val="28"/>
      <w:szCs w:val="28"/>
      <w:lang w:val="en" w:eastAsia="en-US"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l171nqDqFfyew0Z0L0jOQr3oEQ==">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datastoreItem>
</file>

<file path=customXml/itemProps2.xml><?xml version="1.0" encoding="utf-8"?>
<ds:datastoreItem xmlns:ds="http://schemas.openxmlformats.org/officeDocument/2006/customXml" ds:itemID="{3A968881-644E-4439-BF6D-2AC32EADFFF2}">
  <ds:schemaRefs/>
</ds:datastoreItem>
</file>

<file path=docProps/app.xml><?xml version="1.0" encoding="utf-8"?>
<Properties xmlns="http://schemas.openxmlformats.org/officeDocument/2006/extended-properties" xmlns:vt="http://schemas.openxmlformats.org/officeDocument/2006/docPropsVTypes">
  <Template>Normal</Template>
  <Pages>14</Pages>
  <Words>4960</Words>
  <Characters>18596</Characters>
  <Lines>169</Lines>
  <Paragraphs>47</Paragraphs>
  <TotalTime>0</TotalTime>
  <ScaleCrop>false</ScaleCrop>
  <LinksUpToDate>false</LinksUpToDate>
  <CharactersWithSpaces>23444</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2026-07-17T02:14:00Z</dcterms:created>
  <dc:creator>ChuyenVien-PC</dc:creator>
  <cp:lastModifiedBy>Minh Hoàng Nguyễn</cp:lastModifiedBy>
  <cp:lastPrinted>2026-07-17T02:13:00Z</cp:lastPrinted>
  <dcterms:modified xsi:type="dcterms:W3CDTF">2026-08-01T04:41:45Z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759FCE8A41DD425384ED1CF6DCE35649_13</vt:lpwstr>
  </property>
  <property fmtid="{D5CDD505-2E9C-101B-9397-08002B2CF9AE}" pid="4" name="KSOTemplateDocerSaveRecord">
    <vt:lpwstr>eyJoZGlkIjoiMzQzZTVhYjI0MTc2YmI1ZmYyYzBlMGFjMmY0OTFmODEifQ==</vt:lpwstr>
  </property>
</Properties>
</file>